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F54E9" w14:textId="77777777" w:rsidR="006A571C" w:rsidRPr="001C681F" w:rsidRDefault="00AF47F2" w:rsidP="001C681F">
      <w:pPr>
        <w:pStyle w:val="TitleCOL"/>
      </w:pPr>
      <w:bookmarkStart w:id="0" w:name="_GoBack"/>
      <w:bookmarkEnd w:id="0"/>
      <w:r w:rsidRPr="001C681F">
        <w:t>Versioning Guidelines</w:t>
      </w:r>
      <w:r w:rsidR="006A571C" w:rsidRPr="001C681F">
        <w:t xml:space="preserve"> </w:t>
      </w:r>
    </w:p>
    <w:p w14:paraId="0872C8C7" w14:textId="44412CDB" w:rsidR="006A571C" w:rsidRPr="001C681F" w:rsidRDefault="006A571C" w:rsidP="001C681F">
      <w:pPr>
        <w:pStyle w:val="Heading3COL"/>
        <w:spacing w:before="0"/>
        <w:rPr>
          <w:rFonts w:ascii="Times New Roman" w:hAnsi="Times New Roman"/>
          <w:i/>
          <w:color w:val="auto"/>
          <w:lang w:val="en-GB" w:eastAsia="en-GB"/>
        </w:rPr>
      </w:pPr>
      <w:r w:rsidRPr="001C681F">
        <w:rPr>
          <w:i/>
          <w:lang w:val="en-GB" w:eastAsia="en-GB"/>
        </w:rPr>
        <w:t xml:space="preserve">A Blueprint and Toolkit for School-Based Teacher Development: Secondary </w:t>
      </w:r>
    </w:p>
    <w:p w14:paraId="54C14CBA" w14:textId="77777777" w:rsidR="000D3703" w:rsidRPr="00C77C96" w:rsidRDefault="000D3703" w:rsidP="00AF47F2">
      <w:pPr>
        <w:pStyle w:val="Heading1COL"/>
      </w:pPr>
      <w:r w:rsidRPr="00C77C96">
        <w:t>Section 1</w:t>
      </w:r>
      <w:r w:rsidR="00AF47F2">
        <w:t>:</w:t>
      </w:r>
      <w:r w:rsidRPr="00C77C96">
        <w:t xml:space="preserve"> Introduction</w:t>
      </w:r>
    </w:p>
    <w:p w14:paraId="16A95D6E" w14:textId="2C5B4CA7" w:rsidR="000D3703" w:rsidRDefault="000D3703" w:rsidP="00AF47F2">
      <w:pPr>
        <w:pStyle w:val="BodyCOL"/>
      </w:pPr>
      <w:r>
        <w:t xml:space="preserve">The </w:t>
      </w:r>
      <w:r w:rsidR="001C681F" w:rsidRPr="001C681F">
        <w:rPr>
          <w:i/>
        </w:rPr>
        <w:t xml:space="preserve">Blueprint and </w:t>
      </w:r>
      <w:r w:rsidR="00C56D89" w:rsidRPr="001C681F">
        <w:rPr>
          <w:i/>
        </w:rPr>
        <w:t>T</w:t>
      </w:r>
      <w:r w:rsidRPr="001C681F">
        <w:rPr>
          <w:i/>
        </w:rPr>
        <w:t xml:space="preserve">oolkit for </w:t>
      </w:r>
      <w:r w:rsidR="001C681F" w:rsidRPr="001C681F">
        <w:rPr>
          <w:i/>
        </w:rPr>
        <w:t>S</w:t>
      </w:r>
      <w:r w:rsidRPr="001C681F">
        <w:rPr>
          <w:i/>
        </w:rPr>
        <w:t>chool-</w:t>
      </w:r>
      <w:r w:rsidR="001C681F" w:rsidRPr="001C681F">
        <w:rPr>
          <w:i/>
        </w:rPr>
        <w:t>B</w:t>
      </w:r>
      <w:r w:rsidRPr="001C681F">
        <w:rPr>
          <w:i/>
        </w:rPr>
        <w:t xml:space="preserve">ased </w:t>
      </w:r>
      <w:r w:rsidR="001C681F" w:rsidRPr="001C681F">
        <w:rPr>
          <w:i/>
        </w:rPr>
        <w:t>T</w:t>
      </w:r>
      <w:r w:rsidRPr="001C681F">
        <w:rPr>
          <w:i/>
        </w:rPr>
        <w:t xml:space="preserve">eacher </w:t>
      </w:r>
      <w:r w:rsidR="001C681F" w:rsidRPr="001C681F">
        <w:rPr>
          <w:i/>
        </w:rPr>
        <w:t>D</w:t>
      </w:r>
      <w:r w:rsidRPr="001C681F">
        <w:rPr>
          <w:i/>
        </w:rPr>
        <w:t>evelopment</w:t>
      </w:r>
      <w:r>
        <w:t xml:space="preserve"> </w:t>
      </w:r>
      <w:r w:rsidR="006A571C">
        <w:t>for secondary teachers</w:t>
      </w:r>
      <w:r>
        <w:t xml:space="preserve"> has been produced in an initial generic version. All the activities </w:t>
      </w:r>
      <w:r w:rsidR="006A571C">
        <w:t xml:space="preserve">included in the Toolkit </w:t>
      </w:r>
      <w:r>
        <w:t>have been tried out by thousands of teachers in countries across the world. Every activity has been revised in the light of that experience.</w:t>
      </w:r>
    </w:p>
    <w:p w14:paraId="5262BA61" w14:textId="77777777" w:rsidR="00E51D3E" w:rsidRDefault="000D3703" w:rsidP="00AF47F2">
      <w:pPr>
        <w:pStyle w:val="BodyCOL"/>
      </w:pPr>
      <w:r>
        <w:t xml:space="preserve">The purpose of the Toolkit is to provide a detailed framework that can be adapted to the context of a particular country, region, district or school. The capacity to version resources is one of the major advantages of the </w:t>
      </w:r>
      <w:r w:rsidR="003526CA">
        <w:t>concept of o</w:t>
      </w:r>
      <w:r>
        <w:t xml:space="preserve">pen </w:t>
      </w:r>
      <w:r w:rsidR="003526CA">
        <w:t>e</w:t>
      </w:r>
      <w:r>
        <w:t xml:space="preserve">ducational </w:t>
      </w:r>
      <w:r w:rsidR="003526CA">
        <w:t>r</w:t>
      </w:r>
      <w:r>
        <w:t>esource</w:t>
      </w:r>
      <w:r w:rsidR="003526CA">
        <w:t>s (OER)</w:t>
      </w:r>
      <w:r>
        <w:t xml:space="preserve">. </w:t>
      </w:r>
    </w:p>
    <w:p w14:paraId="7A7200FA" w14:textId="3094F574" w:rsidR="000D3703" w:rsidRDefault="000D3703" w:rsidP="00AF47F2">
      <w:pPr>
        <w:pStyle w:val="BodyCOL"/>
      </w:pPr>
      <w:r>
        <w:t>Versioning</w:t>
      </w:r>
      <w:r w:rsidR="003526CA">
        <w:t>,</w:t>
      </w:r>
      <w:r>
        <w:t xml:space="preserve"> as will be explained</w:t>
      </w:r>
      <w:r w:rsidR="002F10DE">
        <w:t xml:space="preserve"> more fully in Section </w:t>
      </w:r>
      <w:r w:rsidR="00E51D3E">
        <w:t>5</w:t>
      </w:r>
      <w:r w:rsidR="003526CA">
        <w:t>,</w:t>
      </w:r>
      <w:r>
        <w:t xml:space="preserve"> can take place at a variety of levels.</w:t>
      </w:r>
      <w:r w:rsidR="003526CA">
        <w:t xml:space="preserve"> For example, </w:t>
      </w:r>
      <w:r>
        <w:t>at a fairly simple level</w:t>
      </w:r>
      <w:r w:rsidR="003526CA">
        <w:t>, you can</w:t>
      </w:r>
      <w:r>
        <w:t xml:space="preserve"> change the names of teachers mentioned in the text to names common to the country in which you live. This may seem a minor point</w:t>
      </w:r>
      <w:r w:rsidR="003526CA">
        <w:t>,</w:t>
      </w:r>
      <w:r>
        <w:t xml:space="preserve"> but experience has shown that making the resources as authentic as possible is significant in gaining </w:t>
      </w:r>
      <w:r w:rsidR="003526CA">
        <w:t xml:space="preserve">the </w:t>
      </w:r>
      <w:r>
        <w:t>support and respect</w:t>
      </w:r>
      <w:r w:rsidR="003526CA">
        <w:t xml:space="preserve"> of teachers</w:t>
      </w:r>
      <w:r>
        <w:t>. At a more complex level</w:t>
      </w:r>
      <w:r w:rsidR="003526CA">
        <w:t>,</w:t>
      </w:r>
      <w:r>
        <w:t xml:space="preserve"> it is possible to add </w:t>
      </w:r>
      <w:r w:rsidR="00A0442A">
        <w:t xml:space="preserve">links to </w:t>
      </w:r>
      <w:r>
        <w:t xml:space="preserve">local video clips, incorporate activities that focus on new </w:t>
      </w:r>
      <w:r w:rsidR="00CD23B4">
        <w:t xml:space="preserve">local </w:t>
      </w:r>
      <w:r>
        <w:t>curriculum developments or explore changes in the knowledge base of the subject taught.</w:t>
      </w:r>
    </w:p>
    <w:p w14:paraId="029C639F" w14:textId="5EBA709C" w:rsidR="000D3703" w:rsidRDefault="000D3703" w:rsidP="00AF47F2">
      <w:pPr>
        <w:pStyle w:val="BodyCOL"/>
      </w:pPr>
      <w:r>
        <w:t>It is important to remember that</w:t>
      </w:r>
      <w:r w:rsidR="003526CA">
        <w:t xml:space="preserve"> the main purpose of</w:t>
      </w:r>
      <w:r>
        <w:t xml:space="preserve"> the </w:t>
      </w:r>
      <w:r w:rsidRPr="001C681F">
        <w:rPr>
          <w:i/>
        </w:rPr>
        <w:t>Blueprint and Toolkit</w:t>
      </w:r>
      <w:r>
        <w:t xml:space="preserve"> </w:t>
      </w:r>
      <w:r w:rsidR="003526CA">
        <w:t>is to</w:t>
      </w:r>
      <w:r>
        <w:t xml:space="preserve"> develop school-based teacher development</w:t>
      </w:r>
      <w:r w:rsidR="001C681F">
        <w:t xml:space="preserve"> (SBTD)</w:t>
      </w:r>
      <w:r>
        <w:t>. It is hoped that at the end of this in</w:t>
      </w:r>
      <w:r w:rsidR="001C681F">
        <w:t>i</w:t>
      </w:r>
      <w:r>
        <w:t xml:space="preserve">tial programme </w:t>
      </w:r>
      <w:r w:rsidR="003526CA">
        <w:t>principals</w:t>
      </w:r>
      <w:r>
        <w:t xml:space="preserve"> and teachers will be more confident about taking charge of improving their professional development. The content of the </w:t>
      </w:r>
      <w:r w:rsidR="00E51D3E" w:rsidRPr="001C681F">
        <w:rPr>
          <w:i/>
        </w:rPr>
        <w:t>Blueprint and Toolkit</w:t>
      </w:r>
      <w:r>
        <w:t xml:space="preserve"> aims to give schools tasters of key areas of curriculum development</w:t>
      </w:r>
      <w:r w:rsidR="001C681F">
        <w:t>. It also aims</w:t>
      </w:r>
      <w:r>
        <w:t xml:space="preserve">, to some extent, </w:t>
      </w:r>
      <w:r w:rsidR="001C681F">
        <w:t xml:space="preserve">to </w:t>
      </w:r>
      <w:r>
        <w:t xml:space="preserve">explore the values associated with being a teacher in the contemporary world. All the topics </w:t>
      </w:r>
      <w:proofErr w:type="gramStart"/>
      <w:r>
        <w:t>could</w:t>
      </w:r>
      <w:proofErr w:type="gramEnd"/>
      <w:r>
        <w:t>, and should, be followed up by more detailed programmes specific to certain topics or subjects.</w:t>
      </w:r>
    </w:p>
    <w:p w14:paraId="44A67459" w14:textId="1BA1339E" w:rsidR="000D3703" w:rsidRDefault="000D3703" w:rsidP="00AF47F2">
      <w:pPr>
        <w:pStyle w:val="BodyCOL"/>
      </w:pPr>
      <w:r>
        <w:t xml:space="preserve">Creating a version of the Toolkit for certain contexts is an important and interesting task. It gives you the opportunity to influence the ideas and practice of </w:t>
      </w:r>
      <w:r w:rsidR="00EA2429">
        <w:t xml:space="preserve">a </w:t>
      </w:r>
      <w:r>
        <w:t xml:space="preserve">large number of </w:t>
      </w:r>
      <w:r w:rsidRPr="00404C7D">
        <w:t>teachers</w:t>
      </w:r>
      <w:r w:rsidR="00EA2429" w:rsidRPr="00404C7D">
        <w:t xml:space="preserve"> </w:t>
      </w:r>
      <w:r w:rsidR="00404C7D" w:rsidRPr="00404C7D">
        <w:t>in your country</w:t>
      </w:r>
      <w:r w:rsidR="004C01CC">
        <w:t xml:space="preserve"> </w:t>
      </w:r>
      <w:r w:rsidR="00EA2429">
        <w:t>–</w:t>
      </w:r>
      <w:r>
        <w:t xml:space="preserve"> no small responsibility!</w:t>
      </w:r>
    </w:p>
    <w:p w14:paraId="40CA4CE8" w14:textId="5EE6FE66" w:rsidR="000D3703" w:rsidRDefault="000D3703" w:rsidP="00AF47F2">
      <w:pPr>
        <w:pStyle w:val="BodyCOL"/>
      </w:pPr>
      <w:r>
        <w:t>The first task is to read the Blueprint and the Toolkit carefully. The versioning process is focused on the Toolkit</w:t>
      </w:r>
      <w:r w:rsidR="00EA2429">
        <w:t>,</w:t>
      </w:r>
      <w:r>
        <w:t xml:space="preserve"> but the Blueprint as a whole </w:t>
      </w:r>
      <w:r w:rsidR="001C681F">
        <w:t xml:space="preserve">will </w:t>
      </w:r>
      <w:r>
        <w:t>give you important contextual information.</w:t>
      </w:r>
    </w:p>
    <w:p w14:paraId="786D7852" w14:textId="345A9124" w:rsidR="00AF47F2" w:rsidRDefault="000D3703" w:rsidP="006A571C">
      <w:pPr>
        <w:pStyle w:val="BodyCOL"/>
        <w:rPr>
          <w:rFonts w:ascii="Stone Sans ITC Std Medium" w:hAnsi="Stone Sans ITC Std Medium"/>
          <w:b/>
          <w:color w:val="463691"/>
          <w:sz w:val="28"/>
          <w:szCs w:val="28"/>
        </w:rPr>
      </w:pPr>
      <w:r>
        <w:t>Your second task is to familiari</w:t>
      </w:r>
      <w:r w:rsidR="00C56D89">
        <w:t>s</w:t>
      </w:r>
      <w:r>
        <w:t xml:space="preserve">e yourself with the </w:t>
      </w:r>
      <w:r w:rsidR="00EA2429">
        <w:t xml:space="preserve">concept of </w:t>
      </w:r>
      <w:r>
        <w:t>OER. The next t</w:t>
      </w:r>
      <w:r w:rsidR="00404C7D">
        <w:t>wo</w:t>
      </w:r>
      <w:r>
        <w:t xml:space="preserve"> sections, based on </w:t>
      </w:r>
      <w:r w:rsidR="00EA2429">
        <w:t>the</w:t>
      </w:r>
      <w:r>
        <w:t xml:space="preserve"> Commonwealth of Learning </w:t>
      </w:r>
      <w:r w:rsidR="003B3ED8">
        <w:t xml:space="preserve">(COL) </w:t>
      </w:r>
      <w:r>
        <w:t xml:space="preserve">and UNESCO publication </w:t>
      </w:r>
      <w:r w:rsidRPr="00EA2429">
        <w:rPr>
          <w:i/>
        </w:rPr>
        <w:t>Guidelines for Open Educational Resources (OER) in Higher Education</w:t>
      </w:r>
      <w:r w:rsidR="00EA2429">
        <w:t>,</w:t>
      </w:r>
      <w:r>
        <w:t xml:space="preserve"> give you important background information relevant to the versioning task. If </w:t>
      </w:r>
      <w:r w:rsidR="00EA2429">
        <w:t xml:space="preserve">you are already familiar with </w:t>
      </w:r>
      <w:r>
        <w:t>this material</w:t>
      </w:r>
      <w:r w:rsidR="00EA2429">
        <w:t>,</w:t>
      </w:r>
      <w:r>
        <w:t xml:space="preserve"> go forward to Section</w:t>
      </w:r>
      <w:r w:rsidR="00EA2429">
        <w:t xml:space="preserve"> </w:t>
      </w:r>
      <w:r w:rsidR="004C01CC">
        <w:t>4</w:t>
      </w:r>
      <w:r w:rsidR="00EA2429">
        <w:t>.</w:t>
      </w:r>
      <w:r w:rsidR="00CD23B4">
        <w:t xml:space="preserve"> Section </w:t>
      </w:r>
      <w:r w:rsidR="004C01CC">
        <w:t>5</w:t>
      </w:r>
      <w:r w:rsidR="00CD23B4">
        <w:t xml:space="preserve"> explains the practical and technical side of how to approach the versioning task.</w:t>
      </w:r>
      <w:r w:rsidR="00AF47F2">
        <w:br w:type="page"/>
      </w:r>
    </w:p>
    <w:p w14:paraId="1AADD93A" w14:textId="77777777" w:rsidR="000D3703" w:rsidRPr="00C77C96" w:rsidRDefault="000D3703" w:rsidP="00AF47F2">
      <w:pPr>
        <w:pStyle w:val="Heading1COL"/>
      </w:pPr>
      <w:r w:rsidRPr="00C77C96">
        <w:lastRenderedPageBreak/>
        <w:t>Section 2</w:t>
      </w:r>
      <w:r w:rsidR="00AF47F2">
        <w:t>:</w:t>
      </w:r>
      <w:r w:rsidRPr="00C77C96">
        <w:t xml:space="preserve"> Glossary of Terms </w:t>
      </w:r>
    </w:p>
    <w:p w14:paraId="1A734E3B" w14:textId="77777777" w:rsidR="00153862" w:rsidRDefault="000D3703" w:rsidP="00153862">
      <w:pPr>
        <w:pStyle w:val="Heading2COL"/>
      </w:pPr>
      <w:r>
        <w:t xml:space="preserve">Open Access Publishing </w:t>
      </w:r>
    </w:p>
    <w:p w14:paraId="548CDDD6" w14:textId="77777777" w:rsidR="000D3703" w:rsidRDefault="000D3703" w:rsidP="00AF47F2">
      <w:pPr>
        <w:pStyle w:val="BodyCOL"/>
      </w:pPr>
      <w:r w:rsidRPr="006A571C">
        <w:rPr>
          <w:b/>
        </w:rPr>
        <w:t xml:space="preserve">Open access publishing </w:t>
      </w:r>
      <w:r>
        <w:t>usually refers to the worldwide electronic distribution of peer-reviewed journal literature in order to give free and unrestricted access to it.</w:t>
      </w:r>
      <w:r>
        <w:rPr>
          <w:position w:val="10"/>
          <w:sz w:val="14"/>
          <w:szCs w:val="14"/>
        </w:rPr>
        <w:t xml:space="preserve">1 </w:t>
      </w:r>
    </w:p>
    <w:p w14:paraId="3B27419F" w14:textId="77777777" w:rsidR="00153862" w:rsidRDefault="000D3703" w:rsidP="00153862">
      <w:pPr>
        <w:pStyle w:val="Heading2COL"/>
      </w:pPr>
      <w:r>
        <w:t xml:space="preserve">Open Educational Resources (OER) </w:t>
      </w:r>
    </w:p>
    <w:p w14:paraId="6C0D334C" w14:textId="77777777" w:rsidR="000D3703" w:rsidRDefault="000D3703" w:rsidP="00AF47F2">
      <w:pPr>
        <w:pStyle w:val="BodyCOL"/>
      </w:pPr>
      <w:r w:rsidRPr="006A571C">
        <w:rPr>
          <w:b/>
        </w:rPr>
        <w:t>OER</w:t>
      </w:r>
      <w:r>
        <w:t xml:space="preserve"> are teaching, learning and research materials in any medium that reside in the public domain and have been released under an open licence that permits access, use, repurposing, reuse and redistribution by others with no or limited restrictions (Atkins, Brown &amp; Hammond, 2007).</w:t>
      </w:r>
      <w:r>
        <w:rPr>
          <w:position w:val="10"/>
          <w:sz w:val="14"/>
          <w:szCs w:val="14"/>
        </w:rPr>
        <w:t xml:space="preserve">2 </w:t>
      </w:r>
      <w:r>
        <w:t xml:space="preserve">The use of open technical standards improves access and reuse potential. </w:t>
      </w:r>
    </w:p>
    <w:p w14:paraId="5175CFD6" w14:textId="77777777" w:rsidR="000D3703" w:rsidRDefault="000D3703" w:rsidP="00AF47F2">
      <w:pPr>
        <w:pStyle w:val="BodyCOL"/>
      </w:pPr>
      <w:r>
        <w:t xml:space="preserve">OER can include full courses/programmes, course materials, modules, student guides, teaching notes, textbooks, research articles, videos, assessment tools and instruments, interactive materials such as simulations and role plays, databases, software, apps (including mobile apps) and any other educationally useful materials. </w:t>
      </w:r>
    </w:p>
    <w:p w14:paraId="2FB32DDE" w14:textId="5E420C08" w:rsidR="000D3703" w:rsidRDefault="000D3703" w:rsidP="00AF47F2">
      <w:pPr>
        <w:pStyle w:val="BodyCOL"/>
      </w:pPr>
      <w:r>
        <w:t xml:space="preserve">The term </w:t>
      </w:r>
      <w:r w:rsidR="006A571C">
        <w:t>“</w:t>
      </w:r>
      <w:r>
        <w:t>OER</w:t>
      </w:r>
      <w:r w:rsidR="006A571C">
        <w:t>”</w:t>
      </w:r>
      <w:r>
        <w:t xml:space="preserve"> is not synonymous with online learning, e</w:t>
      </w:r>
      <w:r w:rsidR="006A571C">
        <w:t>-l</w:t>
      </w:r>
      <w:r>
        <w:t xml:space="preserve">earning or mobile learning. Many OER — while shareable in a digital format — are also printable. </w:t>
      </w:r>
    </w:p>
    <w:p w14:paraId="07F3716C" w14:textId="77777777" w:rsidR="00153862" w:rsidRDefault="000D3703" w:rsidP="00153862">
      <w:pPr>
        <w:pStyle w:val="Heading2COL"/>
      </w:pPr>
      <w:r>
        <w:t xml:space="preserve">Open Licence </w:t>
      </w:r>
    </w:p>
    <w:p w14:paraId="2152F28F" w14:textId="77777777" w:rsidR="000D3703" w:rsidRDefault="000D3703" w:rsidP="00AF47F2">
      <w:pPr>
        <w:pStyle w:val="BodyCOL"/>
      </w:pPr>
      <w:r>
        <w:t xml:space="preserve">An </w:t>
      </w:r>
      <w:r w:rsidRPr="006A571C">
        <w:rPr>
          <w:b/>
        </w:rPr>
        <w:t>open licence</w:t>
      </w:r>
      <w:r>
        <w:t xml:space="preserve"> is a standardised way to grant permission and to state restrictions to accessing, using, repurposing, reusing or redistributing creative work (whether sound, text, image, multimedia, etc.).</w:t>
      </w:r>
      <w:r>
        <w:rPr>
          <w:position w:val="10"/>
          <w:sz w:val="14"/>
          <w:szCs w:val="14"/>
        </w:rPr>
        <w:t xml:space="preserve">3 </w:t>
      </w:r>
    </w:p>
    <w:p w14:paraId="063025E1" w14:textId="77777777" w:rsidR="000D3703" w:rsidRDefault="000D3703" w:rsidP="00AF47F2">
      <w:pPr>
        <w:pStyle w:val="BodyCOL"/>
      </w:pPr>
      <w:r>
        <w:t xml:space="preserve">For definitions of related terms please refer to </w:t>
      </w:r>
      <w:r>
        <w:rPr>
          <w:i/>
          <w:iCs/>
        </w:rPr>
        <w:t xml:space="preserve">A Basic Guide to Open Educational Resources (OER) </w:t>
      </w:r>
      <w:r>
        <w:t>(Butcher, 2011), published by UNESCO and COL.</w:t>
      </w:r>
      <w:r>
        <w:rPr>
          <w:position w:val="10"/>
          <w:sz w:val="14"/>
          <w:szCs w:val="14"/>
        </w:rPr>
        <w:t xml:space="preserve">4 </w:t>
      </w:r>
    </w:p>
    <w:p w14:paraId="0029D89F" w14:textId="77777777" w:rsidR="000D3703" w:rsidRDefault="000D3703" w:rsidP="000D3703">
      <w:pPr>
        <w:widowControl w:val="0"/>
        <w:autoSpaceDE w:val="0"/>
        <w:autoSpaceDN w:val="0"/>
        <w:adjustRightInd w:val="0"/>
        <w:rPr>
          <w:rFonts w:ascii="Times" w:hAnsi="Times" w:cs="Times"/>
        </w:rPr>
      </w:pPr>
      <w:r>
        <w:rPr>
          <w:rFonts w:ascii="Times" w:hAnsi="Times" w:cs="Times"/>
          <w:noProof/>
          <w:lang w:eastAsia="en-CA"/>
        </w:rPr>
        <w:drawing>
          <wp:inline distT="0" distB="0" distL="0" distR="0" wp14:anchorId="1E6AE287" wp14:editId="05811ACE">
            <wp:extent cx="1944370" cy="11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4370" cy="11430"/>
                    </a:xfrm>
                    <a:prstGeom prst="rect">
                      <a:avLst/>
                    </a:prstGeom>
                    <a:noFill/>
                    <a:ln>
                      <a:noFill/>
                    </a:ln>
                  </pic:spPr>
                </pic:pic>
              </a:graphicData>
            </a:graphic>
          </wp:inline>
        </w:drawing>
      </w:r>
    </w:p>
    <w:p w14:paraId="606801DC" w14:textId="0B2F0014" w:rsidR="000D3703" w:rsidRPr="003B3ED8" w:rsidRDefault="000D3703" w:rsidP="003B3ED8">
      <w:pPr>
        <w:pStyle w:val="FootnoteText"/>
      </w:pPr>
      <w:r>
        <w:rPr>
          <w:position w:val="8"/>
          <w:sz w:val="14"/>
          <w:szCs w:val="14"/>
        </w:rPr>
        <w:t xml:space="preserve">1 </w:t>
      </w:r>
      <w:r w:rsidRPr="003B3ED8">
        <w:t xml:space="preserve">Budapest Open Access Initiative (www.soros.org/openaccess/read) </w:t>
      </w:r>
    </w:p>
    <w:p w14:paraId="111C344F" w14:textId="2522BF42" w:rsidR="000D3703" w:rsidRDefault="000D3703" w:rsidP="003B3ED8">
      <w:pPr>
        <w:pStyle w:val="FootnoteText"/>
      </w:pPr>
      <w:r>
        <w:rPr>
          <w:position w:val="8"/>
          <w:sz w:val="14"/>
          <w:szCs w:val="14"/>
        </w:rPr>
        <w:t>2</w:t>
      </w:r>
      <w:r w:rsidR="003526CA">
        <w:rPr>
          <w:position w:val="8"/>
          <w:sz w:val="14"/>
          <w:szCs w:val="14"/>
        </w:rPr>
        <w:t xml:space="preserve"> </w:t>
      </w:r>
      <w:r>
        <w:rPr>
          <w:i/>
          <w:iCs/>
        </w:rPr>
        <w:t xml:space="preserve">A Review of the Open Educational Resources (OER) Movement: Achievements, Challenges, and New </w:t>
      </w:r>
      <w:r>
        <w:rPr>
          <w:rFonts w:ascii="MS Gothic" w:eastAsia="MS Gothic" w:hAnsi="MS Gothic" w:cs="MS Gothic" w:hint="eastAsia"/>
        </w:rPr>
        <w:t> </w:t>
      </w:r>
      <w:r>
        <w:rPr>
          <w:i/>
          <w:iCs/>
        </w:rPr>
        <w:t xml:space="preserve">Opportunities </w:t>
      </w:r>
      <w:r>
        <w:t xml:space="preserve">(www.hewlett.org/uploads/files/ReviewoftheOERMovement.pdf) </w:t>
      </w:r>
      <w:r>
        <w:rPr>
          <w:rFonts w:ascii="MS Gothic" w:eastAsia="MS Gothic" w:hAnsi="MS Gothic" w:cs="MS Gothic" w:hint="eastAsia"/>
        </w:rPr>
        <w:t> </w:t>
      </w:r>
    </w:p>
    <w:p w14:paraId="020F8555" w14:textId="410FFF19" w:rsidR="000D3703" w:rsidRDefault="000D3703" w:rsidP="003B3ED8">
      <w:pPr>
        <w:pStyle w:val="FootnoteText"/>
      </w:pPr>
      <w:r>
        <w:rPr>
          <w:position w:val="8"/>
          <w:sz w:val="14"/>
          <w:szCs w:val="14"/>
        </w:rPr>
        <w:t>3</w:t>
      </w:r>
      <w:r w:rsidR="003526CA">
        <w:rPr>
          <w:position w:val="8"/>
          <w:sz w:val="14"/>
          <w:szCs w:val="14"/>
        </w:rPr>
        <w:t xml:space="preserve"> </w:t>
      </w:r>
      <w:r>
        <w:t xml:space="preserve">Creative Commons (http://creativecommons.org/licenses) and Open Definition </w:t>
      </w:r>
      <w:proofErr w:type="gramStart"/>
      <w:r>
        <w:rPr>
          <w:rFonts w:ascii="MS Gothic" w:eastAsia="MS Gothic" w:hAnsi="MS Gothic" w:cs="MS Gothic" w:hint="eastAsia"/>
        </w:rPr>
        <w:t> </w:t>
      </w:r>
      <w:r>
        <w:t>(</w:t>
      </w:r>
      <w:proofErr w:type="gramEnd"/>
      <w:r>
        <w:t xml:space="preserve">http://opendefinition.org/guide) </w:t>
      </w:r>
      <w:r>
        <w:rPr>
          <w:rFonts w:ascii="MS Gothic" w:eastAsia="MS Gothic" w:hAnsi="MS Gothic" w:cs="MS Gothic" w:hint="eastAsia"/>
        </w:rPr>
        <w:t> </w:t>
      </w:r>
    </w:p>
    <w:p w14:paraId="287ABE0F" w14:textId="0CE17B2D" w:rsidR="000D3703" w:rsidRDefault="000D3703" w:rsidP="003B3ED8">
      <w:pPr>
        <w:pStyle w:val="FootnoteText"/>
      </w:pPr>
      <w:r>
        <w:rPr>
          <w:position w:val="8"/>
          <w:sz w:val="14"/>
          <w:szCs w:val="14"/>
        </w:rPr>
        <w:t>4</w:t>
      </w:r>
      <w:r w:rsidR="003526CA">
        <w:rPr>
          <w:position w:val="8"/>
          <w:sz w:val="14"/>
          <w:szCs w:val="14"/>
        </w:rPr>
        <w:t xml:space="preserve"> </w:t>
      </w:r>
      <w:r>
        <w:t xml:space="preserve">See </w:t>
      </w:r>
      <w:proofErr w:type="gramStart"/>
      <w:r>
        <w:rPr>
          <w:i/>
          <w:iCs/>
        </w:rPr>
        <w:t>A</w:t>
      </w:r>
      <w:proofErr w:type="gramEnd"/>
      <w:r>
        <w:rPr>
          <w:i/>
          <w:iCs/>
        </w:rPr>
        <w:t xml:space="preserve"> Basic Guide to Open Educational Resources </w:t>
      </w:r>
      <w:r w:rsidRPr="00D8035D">
        <w:rPr>
          <w:i/>
        </w:rPr>
        <w:t>(OER)</w:t>
      </w:r>
      <w:r>
        <w:t xml:space="preserve"> (ht</w:t>
      </w:r>
      <w:r w:rsidR="003B3ED8">
        <w:t>tp://www.col.org/oerBasicGuide)</w:t>
      </w:r>
      <w:r>
        <w:t xml:space="preserve"> </w:t>
      </w:r>
      <w:r>
        <w:rPr>
          <w:rFonts w:ascii="MS Gothic" w:eastAsia="MS Gothic" w:hAnsi="MS Gothic" w:cs="MS Gothic" w:hint="eastAsia"/>
        </w:rPr>
        <w:t> </w:t>
      </w:r>
    </w:p>
    <w:p w14:paraId="07DA176D" w14:textId="77777777" w:rsidR="00AF47F2" w:rsidRDefault="00AF47F2">
      <w:pPr>
        <w:spacing w:after="0" w:line="240" w:lineRule="auto"/>
        <w:rPr>
          <w:rFonts w:ascii="Times" w:hAnsi="Times" w:cs="Times"/>
          <w:b/>
          <w:bCs/>
          <w:sz w:val="28"/>
          <w:szCs w:val="28"/>
        </w:rPr>
      </w:pPr>
      <w:r>
        <w:rPr>
          <w:rFonts w:ascii="Times" w:hAnsi="Times" w:cs="Times"/>
          <w:b/>
          <w:bCs/>
          <w:sz w:val="28"/>
          <w:szCs w:val="28"/>
        </w:rPr>
        <w:br w:type="page"/>
      </w:r>
    </w:p>
    <w:p w14:paraId="54C17023" w14:textId="77777777" w:rsidR="000D3703" w:rsidRPr="00AF47F2" w:rsidRDefault="000D3703" w:rsidP="00AF47F2">
      <w:pPr>
        <w:pStyle w:val="Heading1COL"/>
      </w:pPr>
      <w:r w:rsidRPr="00AF47F2">
        <w:lastRenderedPageBreak/>
        <w:t>Section 3</w:t>
      </w:r>
      <w:r w:rsidR="00153862">
        <w:t>:</w:t>
      </w:r>
      <w:r w:rsidRPr="00AF47F2">
        <w:t xml:space="preserve"> The </w:t>
      </w:r>
      <w:r w:rsidR="00153862">
        <w:t>T</w:t>
      </w:r>
      <w:r w:rsidRPr="00AF47F2">
        <w:t xml:space="preserve">ransformative </w:t>
      </w:r>
      <w:r w:rsidR="00153862">
        <w:t>P</w:t>
      </w:r>
      <w:r w:rsidRPr="00AF47F2">
        <w:t xml:space="preserve">otential of OER </w:t>
      </w:r>
    </w:p>
    <w:p w14:paraId="1BF7C9C1" w14:textId="3DD47164" w:rsidR="000D3703" w:rsidRDefault="000D3703" w:rsidP="0055593C">
      <w:pPr>
        <w:pStyle w:val="BodyCOL"/>
      </w:pPr>
      <w:r>
        <w:t xml:space="preserve">The growing demand for school-based teacher development and the ongoing rollout of </w:t>
      </w:r>
      <w:r w:rsidR="0055593C">
        <w:t>information and communication technology (</w:t>
      </w:r>
      <w:r>
        <w:t>ICT</w:t>
      </w:r>
      <w:r w:rsidR="0055593C">
        <w:t>)</w:t>
      </w:r>
      <w:r>
        <w:t xml:space="preserve"> infrastructure have created unique challenges for</w:t>
      </w:r>
      <w:r w:rsidR="003526CA">
        <w:t xml:space="preserve"> </w:t>
      </w:r>
      <w:r>
        <w:t xml:space="preserve">education institutions in an era of tight resources. It has become increasingly important for educational institutions to support, in a planned and systematic manner: </w:t>
      </w:r>
    </w:p>
    <w:p w14:paraId="0C03BF31" w14:textId="49DCE6E5" w:rsidR="000D3703" w:rsidRDefault="0055593C" w:rsidP="0055593C">
      <w:pPr>
        <w:pStyle w:val="BulletsCOL"/>
      </w:pPr>
      <w:r>
        <w:t>d</w:t>
      </w:r>
      <w:r w:rsidR="000D3703">
        <w:t xml:space="preserve">evelopment and improvement of curricula and learning materials; </w:t>
      </w:r>
      <w:r w:rsidR="000D3703">
        <w:rPr>
          <w:rFonts w:ascii="MS Mincho" w:eastAsia="MS Mincho" w:hAnsi="MS Mincho" w:cs="MS Mincho" w:hint="eastAsia"/>
        </w:rPr>
        <w:t> </w:t>
      </w:r>
    </w:p>
    <w:p w14:paraId="06CA789F" w14:textId="291941DB" w:rsidR="000D3703" w:rsidRDefault="0055593C" w:rsidP="0055593C">
      <w:pPr>
        <w:pStyle w:val="BulletsCOL"/>
      </w:pPr>
      <w:r>
        <w:t>o</w:t>
      </w:r>
      <w:r w:rsidR="000D3703">
        <w:t xml:space="preserve">ngoing programme and course design; </w:t>
      </w:r>
      <w:r w:rsidR="000D3703">
        <w:rPr>
          <w:rFonts w:ascii="MS Mincho" w:eastAsia="MS Mincho" w:hAnsi="MS Mincho" w:cs="MS Mincho" w:hint="eastAsia"/>
        </w:rPr>
        <w:t> </w:t>
      </w:r>
    </w:p>
    <w:p w14:paraId="2082199F" w14:textId="2A1D0BC8" w:rsidR="000D3703" w:rsidRDefault="0055593C" w:rsidP="0055593C">
      <w:pPr>
        <w:pStyle w:val="BulletsCOL"/>
      </w:pPr>
      <w:r>
        <w:t>o</w:t>
      </w:r>
      <w:r w:rsidR="000D3703">
        <w:t xml:space="preserve">rganisation of interactive contact sessions with and among teachers; </w:t>
      </w:r>
      <w:r w:rsidR="000D3703">
        <w:rPr>
          <w:rFonts w:ascii="MS Mincho" w:eastAsia="MS Mincho" w:hAnsi="MS Mincho" w:cs="MS Mincho" w:hint="eastAsia"/>
        </w:rPr>
        <w:t> </w:t>
      </w:r>
    </w:p>
    <w:p w14:paraId="3A1DA288" w14:textId="772797FB" w:rsidR="000D3703" w:rsidRDefault="0055593C" w:rsidP="0055593C">
      <w:pPr>
        <w:pStyle w:val="BulletsCOL"/>
      </w:pPr>
      <w:r>
        <w:t>d</w:t>
      </w:r>
      <w:r w:rsidR="000D3703">
        <w:t xml:space="preserve">evelopment of quality teaching and learning materials; </w:t>
      </w:r>
      <w:r>
        <w:t>and</w:t>
      </w:r>
      <w:r w:rsidR="000D3703">
        <w:rPr>
          <w:rFonts w:ascii="MS Mincho" w:eastAsia="MS Mincho" w:hAnsi="MS Mincho" w:cs="MS Mincho" w:hint="eastAsia"/>
        </w:rPr>
        <w:t> </w:t>
      </w:r>
    </w:p>
    <w:p w14:paraId="1DF116F9" w14:textId="3D4CBF3E" w:rsidR="000D3703" w:rsidRDefault="0055593C" w:rsidP="0055593C">
      <w:pPr>
        <w:pStyle w:val="BulletsCOL"/>
      </w:pPr>
      <w:proofErr w:type="gramStart"/>
      <w:r>
        <w:t>d</w:t>
      </w:r>
      <w:r w:rsidR="000D3703">
        <w:t>esign</w:t>
      </w:r>
      <w:proofErr w:type="gramEnd"/>
      <w:r w:rsidR="000D3703">
        <w:t xml:space="preserve"> of effective assessment tools for diverse environments</w:t>
      </w:r>
      <w:r>
        <w:t>.</w:t>
      </w:r>
      <w:r w:rsidR="000D3703">
        <w:t xml:space="preserve"> </w:t>
      </w:r>
      <w:r w:rsidR="000D3703">
        <w:rPr>
          <w:rFonts w:ascii="MS Mincho" w:eastAsia="MS Mincho" w:hAnsi="MS Mincho" w:cs="MS Mincho" w:hint="eastAsia"/>
        </w:rPr>
        <w:t> </w:t>
      </w:r>
    </w:p>
    <w:p w14:paraId="58AE5BEF" w14:textId="77777777" w:rsidR="00464F48" w:rsidRDefault="000D3703" w:rsidP="0055593C">
      <w:pPr>
        <w:pStyle w:val="BodyCOL"/>
      </w:pPr>
      <w:r>
        <w:t>OER can make a significant contribution to these processes. However, OER do not automatically lead to quality, efficiency and cost</w:t>
      </w:r>
      <w:r w:rsidR="00464F48">
        <w:t>-</w:t>
      </w:r>
      <w:r w:rsidRPr="00A55291">
        <w:t xml:space="preserve">effectiveness; much depends on the procedures put in place. </w:t>
      </w:r>
    </w:p>
    <w:p w14:paraId="522241D3" w14:textId="3409B398" w:rsidR="000D3703" w:rsidRPr="00A55291" w:rsidRDefault="000D3703" w:rsidP="0055593C">
      <w:pPr>
        <w:pStyle w:val="BodyCOL"/>
      </w:pPr>
      <w:r w:rsidRPr="00A55291">
        <w:t xml:space="preserve">The transformative educational potential of OER depends on: </w:t>
      </w:r>
      <w:r w:rsidRPr="00A55291">
        <w:rPr>
          <w:rFonts w:ascii="MS Mincho" w:eastAsia="MS Mincho" w:hAnsi="MS Mincho" w:cs="MS Mincho" w:hint="eastAsia"/>
        </w:rPr>
        <w:t> </w:t>
      </w:r>
    </w:p>
    <w:p w14:paraId="0744127F" w14:textId="23617D57" w:rsidR="000D3703" w:rsidRDefault="00464F48" w:rsidP="00464F48">
      <w:pPr>
        <w:pStyle w:val="BulletsCOL"/>
      </w:pPr>
      <w:r>
        <w:t>i</w:t>
      </w:r>
      <w:r w:rsidR="000D3703">
        <w:t>mproving the quality of learning materials through peer</w:t>
      </w:r>
      <w:r>
        <w:t>-</w:t>
      </w:r>
      <w:r w:rsidR="000D3703">
        <w:t xml:space="preserve">review processes; </w:t>
      </w:r>
      <w:r w:rsidR="000D3703">
        <w:rPr>
          <w:rFonts w:ascii="MS Mincho" w:eastAsia="MS Mincho" w:hAnsi="MS Mincho" w:cs="MS Mincho" w:hint="eastAsia"/>
        </w:rPr>
        <w:t> </w:t>
      </w:r>
    </w:p>
    <w:p w14:paraId="5986599E" w14:textId="5EE300F6" w:rsidR="000D3703" w:rsidRDefault="00464F48" w:rsidP="00464F48">
      <w:pPr>
        <w:pStyle w:val="BulletsCOL"/>
      </w:pPr>
      <w:r>
        <w:t>r</w:t>
      </w:r>
      <w:r w:rsidR="000D3703">
        <w:t xml:space="preserve">eaping the benefits of contextualisation, personalisation and localisation; </w:t>
      </w:r>
    </w:p>
    <w:p w14:paraId="1228E72E" w14:textId="498542B7" w:rsidR="000D3703" w:rsidRDefault="00464F48" w:rsidP="00464F48">
      <w:pPr>
        <w:pStyle w:val="BulletsCOL"/>
      </w:pPr>
      <w:r>
        <w:t>e</w:t>
      </w:r>
      <w:r w:rsidR="000D3703">
        <w:t xml:space="preserve">mphasising openness and quality improvement; </w:t>
      </w:r>
      <w:r w:rsidR="000D3703">
        <w:rPr>
          <w:rFonts w:ascii="MS Mincho" w:eastAsia="MS Mincho" w:hAnsi="MS Mincho" w:cs="MS Mincho" w:hint="eastAsia"/>
        </w:rPr>
        <w:t> </w:t>
      </w:r>
    </w:p>
    <w:p w14:paraId="46398EF3" w14:textId="4CDAD1E7" w:rsidR="000D3703" w:rsidRDefault="00464F48" w:rsidP="00464F48">
      <w:pPr>
        <w:pStyle w:val="BulletsCOL"/>
      </w:pPr>
      <w:r>
        <w:t>b</w:t>
      </w:r>
      <w:r w:rsidR="000D3703">
        <w:t xml:space="preserve">uilding capacity for the creation and use of OER as part of the professional development process; </w:t>
      </w:r>
      <w:r w:rsidR="000D3703">
        <w:rPr>
          <w:rFonts w:ascii="MS Mincho" w:eastAsia="MS Mincho" w:hAnsi="MS Mincho" w:cs="MS Mincho" w:hint="eastAsia"/>
        </w:rPr>
        <w:t> </w:t>
      </w:r>
    </w:p>
    <w:p w14:paraId="292DE5CF" w14:textId="5A53821F" w:rsidR="000D3703" w:rsidRDefault="00464F48" w:rsidP="00464F48">
      <w:pPr>
        <w:pStyle w:val="BulletsCOL"/>
      </w:pPr>
      <w:r>
        <w:t>s</w:t>
      </w:r>
      <w:r w:rsidR="000D3703">
        <w:t>erving the needs of particular populations</w:t>
      </w:r>
      <w:r>
        <w:t>,</w:t>
      </w:r>
      <w:r w:rsidR="000D3703">
        <w:t xml:space="preserve"> such as teachers in remote communities; </w:t>
      </w:r>
      <w:r w:rsidR="000D3703">
        <w:rPr>
          <w:rFonts w:ascii="MS Mincho" w:eastAsia="MS Mincho" w:hAnsi="MS Mincho" w:cs="MS Mincho" w:hint="eastAsia"/>
        </w:rPr>
        <w:t> </w:t>
      </w:r>
    </w:p>
    <w:p w14:paraId="60D5EE65" w14:textId="1D51C3C5" w:rsidR="000D3703" w:rsidRDefault="00464F48" w:rsidP="00464F48">
      <w:pPr>
        <w:pStyle w:val="BulletsCOL"/>
      </w:pPr>
      <w:r>
        <w:t>o</w:t>
      </w:r>
      <w:r w:rsidR="000D3703">
        <w:t xml:space="preserve">ptimising the deployment of institutional staff and budgets; </w:t>
      </w:r>
      <w:r w:rsidR="000D3703">
        <w:rPr>
          <w:rFonts w:ascii="MS Mincho" w:eastAsia="MS Mincho" w:hAnsi="MS Mincho" w:cs="MS Mincho" w:hint="eastAsia"/>
        </w:rPr>
        <w:t> </w:t>
      </w:r>
    </w:p>
    <w:p w14:paraId="0A277B60" w14:textId="1FBBE860" w:rsidR="000D3703" w:rsidRDefault="00464F48" w:rsidP="00464F48">
      <w:pPr>
        <w:pStyle w:val="BulletsCOL"/>
      </w:pPr>
      <w:r>
        <w:t>s</w:t>
      </w:r>
      <w:r w:rsidR="000D3703">
        <w:t xml:space="preserve">erving teachers in local languages; </w:t>
      </w:r>
      <w:r w:rsidR="000D3703">
        <w:rPr>
          <w:rFonts w:ascii="MS Mincho" w:eastAsia="MS Mincho" w:hAnsi="MS Mincho" w:cs="MS Mincho" w:hint="eastAsia"/>
        </w:rPr>
        <w:t> </w:t>
      </w:r>
    </w:p>
    <w:p w14:paraId="27B4CDD2" w14:textId="01B37924" w:rsidR="000D3703" w:rsidRDefault="00464F48" w:rsidP="00464F48">
      <w:pPr>
        <w:pStyle w:val="BulletsCOL"/>
      </w:pPr>
      <w:r>
        <w:t>i</w:t>
      </w:r>
      <w:r w:rsidR="000D3703">
        <w:t xml:space="preserve">nvolving teachers in the selection and adaptation of OER in order to engage them more actively in the learning process; and </w:t>
      </w:r>
      <w:r w:rsidR="000D3703">
        <w:rPr>
          <w:rFonts w:ascii="MS Mincho" w:eastAsia="MS Mincho" w:hAnsi="MS Mincho" w:cs="MS Mincho" w:hint="eastAsia"/>
        </w:rPr>
        <w:t> </w:t>
      </w:r>
    </w:p>
    <w:p w14:paraId="5E48B0C0" w14:textId="20E8228D" w:rsidR="000D3703" w:rsidRDefault="00464F48" w:rsidP="00464F48">
      <w:pPr>
        <w:pStyle w:val="BulletsCOL"/>
      </w:pPr>
      <w:proofErr w:type="gramStart"/>
      <w:r>
        <w:t>u</w:t>
      </w:r>
      <w:r w:rsidR="000D3703">
        <w:t>sing</w:t>
      </w:r>
      <w:proofErr w:type="gramEnd"/>
      <w:r w:rsidR="000D3703">
        <w:t xml:space="preserve"> locally developed materials with due acknowledgement. </w:t>
      </w:r>
      <w:r w:rsidR="000D3703">
        <w:rPr>
          <w:rFonts w:ascii="MS Mincho" w:eastAsia="MS Mincho" w:hAnsi="MS Mincho" w:cs="MS Mincho" w:hint="eastAsia"/>
        </w:rPr>
        <w:t> </w:t>
      </w:r>
    </w:p>
    <w:p w14:paraId="2CC0CD46" w14:textId="04822EB4" w:rsidR="000D3703" w:rsidRDefault="000D3703" w:rsidP="0055593C">
      <w:pPr>
        <w:pStyle w:val="BodyCOL"/>
      </w:pPr>
      <w:r>
        <w:t xml:space="preserve">The transformative potential of OER also includes the benefits of sharing and collaborating among institutions and countries. </w:t>
      </w:r>
    </w:p>
    <w:p w14:paraId="563CAECB" w14:textId="77777777" w:rsidR="0055593C" w:rsidRDefault="0055593C">
      <w:pPr>
        <w:spacing w:after="0" w:line="240" w:lineRule="auto"/>
        <w:rPr>
          <w:rFonts w:ascii="Stone Sans ITC Std Medium" w:hAnsi="Stone Sans ITC Std Medium"/>
          <w:b/>
          <w:color w:val="463691"/>
          <w:sz w:val="28"/>
          <w:szCs w:val="28"/>
        </w:rPr>
      </w:pPr>
      <w:r>
        <w:br w:type="page"/>
      </w:r>
    </w:p>
    <w:p w14:paraId="1B526D83" w14:textId="42D7A520" w:rsidR="000D3703" w:rsidRPr="001B13A9" w:rsidRDefault="000D3703" w:rsidP="00AF47F2">
      <w:pPr>
        <w:pStyle w:val="Heading1COL"/>
      </w:pPr>
      <w:r w:rsidRPr="001B13A9">
        <w:lastRenderedPageBreak/>
        <w:t xml:space="preserve">Section </w:t>
      </w:r>
      <w:r w:rsidR="004C01CC">
        <w:t>4</w:t>
      </w:r>
      <w:r w:rsidR="00AF47F2">
        <w:t>:</w:t>
      </w:r>
      <w:r w:rsidRPr="001B13A9">
        <w:t xml:space="preserve"> Familiarisation with </w:t>
      </w:r>
      <w:r w:rsidR="00C56D89">
        <w:t>T</w:t>
      </w:r>
      <w:r w:rsidRPr="001B13A9">
        <w:t>each</w:t>
      </w:r>
      <w:r w:rsidR="00AF47F2">
        <w:t>er</w:t>
      </w:r>
      <w:r w:rsidRPr="001B13A9">
        <w:t xml:space="preserve"> </w:t>
      </w:r>
      <w:r w:rsidR="00C56D89">
        <w:t>D</w:t>
      </w:r>
      <w:r w:rsidRPr="001B13A9">
        <w:t xml:space="preserve">evelopment and </w:t>
      </w:r>
      <w:r w:rsidR="00C56D89">
        <w:t>R</w:t>
      </w:r>
      <w:r w:rsidRPr="001B13A9">
        <w:t xml:space="preserve">elated OER </w:t>
      </w:r>
      <w:r w:rsidR="00C56D89">
        <w:t>S</w:t>
      </w:r>
      <w:r w:rsidRPr="001B13A9">
        <w:t>ites</w:t>
      </w:r>
    </w:p>
    <w:p w14:paraId="443FF928" w14:textId="7C7CC67F" w:rsidR="000D3703" w:rsidRDefault="000D3703" w:rsidP="00FE7878">
      <w:pPr>
        <w:pStyle w:val="BodyCOL"/>
      </w:pPr>
      <w:r>
        <w:t xml:space="preserve">There </w:t>
      </w:r>
      <w:r w:rsidR="00FE7878">
        <w:t>is</w:t>
      </w:r>
      <w:r>
        <w:t xml:space="preserve"> now an extensive range of OER sites relevant to teacher development. If you are new to</w:t>
      </w:r>
      <w:r w:rsidR="00404C7D">
        <w:t xml:space="preserve"> </w:t>
      </w:r>
      <w:r w:rsidR="00404C7D" w:rsidRPr="00404C7D">
        <w:t>versioning for teacher development</w:t>
      </w:r>
      <w:r w:rsidR="004C01CC">
        <w:t>,</w:t>
      </w:r>
      <w:r>
        <w:t xml:space="preserve"> then gaining familiarity with some of these is important.</w:t>
      </w:r>
    </w:p>
    <w:p w14:paraId="654640B5" w14:textId="7898D913" w:rsidR="000D3703" w:rsidRDefault="000D3703" w:rsidP="00FE7878">
      <w:pPr>
        <w:pStyle w:val="BodyCOL"/>
      </w:pPr>
      <w:r>
        <w:t>The Toolkit has taken resources from a number of sites</w:t>
      </w:r>
      <w:r w:rsidR="00FE7878">
        <w:t xml:space="preserve">, </w:t>
      </w:r>
      <w:r w:rsidR="004421F9">
        <w:t>three</w:t>
      </w:r>
      <w:r w:rsidR="00FE7878">
        <w:t xml:space="preserve"> of which </w:t>
      </w:r>
      <w:r>
        <w:t xml:space="preserve">have been </w:t>
      </w:r>
      <w:r w:rsidR="00FE7878">
        <w:t xml:space="preserve">particularly </w:t>
      </w:r>
      <w:r>
        <w:t>important</w:t>
      </w:r>
      <w:r w:rsidR="00FE7878">
        <w:t>:</w:t>
      </w:r>
    </w:p>
    <w:p w14:paraId="098B87F2" w14:textId="77777777" w:rsidR="000D3703" w:rsidRPr="00FA0AA6" w:rsidRDefault="000D3703" w:rsidP="00FA0AA6">
      <w:pPr>
        <w:pStyle w:val="BulletsCOL"/>
      </w:pPr>
      <w:r w:rsidRPr="00FA0AA6">
        <w:t xml:space="preserve">Teacher Education in Sub-Saharan Africa (TESSA) which can be found at </w:t>
      </w:r>
      <w:hyperlink r:id="rId8" w:history="1">
        <w:r w:rsidRPr="00FA0AA6">
          <w:rPr>
            <w:rStyle w:val="Hyperlink"/>
            <w:color w:val="0070C0"/>
            <w:u w:val="none"/>
          </w:rPr>
          <w:t>www.tessafrica.net</w:t>
        </w:r>
      </w:hyperlink>
    </w:p>
    <w:p w14:paraId="48EB0430" w14:textId="77A9F2F1" w:rsidR="000D3703" w:rsidRPr="00FA0AA6" w:rsidRDefault="000D3703" w:rsidP="00FA0AA6">
      <w:pPr>
        <w:pStyle w:val="BulletsCOL"/>
        <w:rPr>
          <w:rStyle w:val="Hyperlink"/>
          <w:color w:val="000000"/>
          <w:u w:val="none"/>
        </w:rPr>
      </w:pPr>
      <w:r w:rsidRPr="00FA0AA6">
        <w:t>TESS-India</w:t>
      </w:r>
      <w:r w:rsidR="00FE7878" w:rsidRPr="00FA0AA6">
        <w:t>,</w:t>
      </w:r>
      <w:r w:rsidRPr="00FA0AA6">
        <w:t xml:space="preserve"> which grew from the TESSA concept and can be found at </w:t>
      </w:r>
      <w:hyperlink r:id="rId9" w:history="1">
        <w:r w:rsidRPr="00FA0AA6">
          <w:rPr>
            <w:rStyle w:val="Hyperlink"/>
            <w:color w:val="0070C0"/>
            <w:u w:val="none"/>
          </w:rPr>
          <w:t>www.tess-india.edu.in</w:t>
        </w:r>
      </w:hyperlink>
    </w:p>
    <w:p w14:paraId="7B0C84E5" w14:textId="23A981C3" w:rsidR="000D3703" w:rsidRPr="00FA0AA6" w:rsidRDefault="000D3703" w:rsidP="00FA0AA6">
      <w:pPr>
        <w:pStyle w:val="BulletsCOL"/>
      </w:pPr>
      <w:r w:rsidRPr="00FA0AA6">
        <w:t>OER</w:t>
      </w:r>
      <w:r w:rsidR="004421F9">
        <w:t xml:space="preserve"> </w:t>
      </w:r>
      <w:r w:rsidRPr="00FA0AA6">
        <w:t>Africa, one of the earliest OER sites to be established</w:t>
      </w:r>
      <w:r w:rsidR="00FE7878" w:rsidRPr="00FA0AA6">
        <w:t>,</w:t>
      </w:r>
      <w:r w:rsidRPr="00FA0AA6">
        <w:t xml:space="preserve"> with a large section devoted to teachers. This can be found at</w:t>
      </w:r>
      <w:r w:rsidR="00FA0AA6">
        <w:t xml:space="preserve"> </w:t>
      </w:r>
      <w:r w:rsidR="00FA0AA6" w:rsidRPr="00FA0AA6">
        <w:rPr>
          <w:color w:val="0070C0"/>
        </w:rPr>
        <w:t>www.oer.africa.org</w:t>
      </w:r>
      <w:r w:rsidRPr="00FA0AA6">
        <w:t xml:space="preserve"> </w:t>
      </w:r>
    </w:p>
    <w:p w14:paraId="2A532EC4" w14:textId="3976B12C" w:rsidR="000D3703" w:rsidRDefault="000D3703" w:rsidP="00FE7878">
      <w:pPr>
        <w:pStyle w:val="BodyCOL"/>
      </w:pPr>
      <w:r>
        <w:t>There are two further sites</w:t>
      </w:r>
      <w:r w:rsidR="00FE7878">
        <w:t>, which,</w:t>
      </w:r>
      <w:r>
        <w:t xml:space="preserve"> whil</w:t>
      </w:r>
      <w:r w:rsidR="00FE7878">
        <w:t>e</w:t>
      </w:r>
      <w:r>
        <w:t xml:space="preserve"> not dedicated to teachers, illustrate up</w:t>
      </w:r>
      <w:r w:rsidR="00FE7878">
        <w:t>-</w:t>
      </w:r>
      <w:r>
        <w:t>to</w:t>
      </w:r>
      <w:r w:rsidR="00FE7878">
        <w:t>-</w:t>
      </w:r>
      <w:r>
        <w:t>the</w:t>
      </w:r>
      <w:r w:rsidR="00FE7878">
        <w:t>-</w:t>
      </w:r>
      <w:r>
        <w:t xml:space="preserve">moment ways in which OER are being published and used. The first is called MIT </w:t>
      </w:r>
      <w:proofErr w:type="spellStart"/>
      <w:r>
        <w:t>OpenCourseWare</w:t>
      </w:r>
      <w:proofErr w:type="spellEnd"/>
      <w:r w:rsidR="00095E3B">
        <w:t xml:space="preserve"> (see </w:t>
      </w:r>
      <w:hyperlink r:id="rId10" w:history="1">
        <w:r w:rsidR="00095E3B" w:rsidRPr="00292A61">
          <w:rPr>
            <w:rStyle w:val="Hyperlink"/>
            <w:rFonts w:cs="Times"/>
            <w:color w:val="0070C0"/>
          </w:rPr>
          <w:t>www.ocw.mit.edu</w:t>
        </w:r>
      </w:hyperlink>
      <w:r w:rsidR="00095E3B">
        <w:t>).</w:t>
      </w:r>
      <w:r>
        <w:t xml:space="preserve"> The Massachusetts Institute of Technology</w:t>
      </w:r>
      <w:r w:rsidR="00095E3B">
        <w:t xml:space="preserve"> (MIT)</w:t>
      </w:r>
      <w:r>
        <w:t xml:space="preserve"> was one of the first institutions to seriously embrace the OER idea. In many respects</w:t>
      </w:r>
      <w:r w:rsidR="00095E3B">
        <w:t>,</w:t>
      </w:r>
      <w:r>
        <w:t xml:space="preserve"> </w:t>
      </w:r>
      <w:r w:rsidR="004421F9">
        <w:t>MIT</w:t>
      </w:r>
      <w:r>
        <w:t xml:space="preserve"> defined the field. The second site is called Open Learn </w:t>
      </w:r>
      <w:r w:rsidR="00292A61">
        <w:t xml:space="preserve">(see </w:t>
      </w:r>
      <w:r w:rsidR="00292A61" w:rsidRPr="00292A61">
        <w:rPr>
          <w:color w:val="0070C0"/>
        </w:rPr>
        <w:t>www.open.edu</w:t>
      </w:r>
      <w:r w:rsidR="00095E3B">
        <w:t>) a</w:t>
      </w:r>
      <w:r>
        <w:t xml:space="preserve">nd derives from the UK’s Open University. The Open University was, like MIT, involved with OER creation from the beginning and now has a host of resources on </w:t>
      </w:r>
      <w:r w:rsidR="00095E3B">
        <w:t>this</w:t>
      </w:r>
      <w:r>
        <w:t xml:space="preserve"> dedicated site</w:t>
      </w:r>
      <w:r w:rsidR="00095E3B">
        <w:t>.</w:t>
      </w:r>
    </w:p>
    <w:p w14:paraId="5435EC7E" w14:textId="5FBC9D75" w:rsidR="000D3703" w:rsidRDefault="000D3703" w:rsidP="00FE7878">
      <w:pPr>
        <w:pStyle w:val="BodyCOL"/>
      </w:pPr>
      <w:r>
        <w:t xml:space="preserve">Looking at these sites </w:t>
      </w:r>
      <w:r w:rsidR="00095E3B">
        <w:t xml:space="preserve">will </w:t>
      </w:r>
      <w:r>
        <w:t xml:space="preserve">give you an understanding of the field. </w:t>
      </w:r>
      <w:r w:rsidR="00095E3B">
        <w:t xml:space="preserve">For </w:t>
      </w:r>
      <w:r>
        <w:t xml:space="preserve">example, OER Africa has made available all the resources </w:t>
      </w:r>
      <w:r w:rsidR="00D21449">
        <w:t xml:space="preserve">that were </w:t>
      </w:r>
      <w:r>
        <w:t>created for a</w:t>
      </w:r>
      <w:r w:rsidR="00095E3B">
        <w:t>n SBTD</w:t>
      </w:r>
      <w:r>
        <w:t xml:space="preserve"> programme implemented successfully in the Eastern Province. This </w:t>
      </w:r>
      <w:r w:rsidR="00095E3B">
        <w:t>programme</w:t>
      </w:r>
      <w:r>
        <w:t xml:space="preserve"> was developed in the late 1990s by the University </w:t>
      </w:r>
      <w:proofErr w:type="gramStart"/>
      <w:r>
        <w:t>of</w:t>
      </w:r>
      <w:proofErr w:type="gramEnd"/>
      <w:r>
        <w:t xml:space="preserve"> Fort Hare</w:t>
      </w:r>
      <w:r w:rsidR="00095E3B">
        <w:t xml:space="preserve"> and t</w:t>
      </w:r>
      <w:r>
        <w:t xml:space="preserve">he </w:t>
      </w:r>
      <w:r w:rsidR="00095E3B">
        <w:t>materials</w:t>
      </w:r>
      <w:r>
        <w:t xml:space="preserve"> were expertly produced. These are, however, online versions of the printed text (as such they contain a great deal of material that can still be used today)</w:t>
      </w:r>
      <w:r w:rsidR="00095E3B">
        <w:t>.</w:t>
      </w:r>
      <w:r w:rsidR="003526CA">
        <w:t xml:space="preserve"> </w:t>
      </w:r>
      <w:r>
        <w:t xml:space="preserve">But compare these with the resources </w:t>
      </w:r>
      <w:r w:rsidR="00095E3B">
        <w:t>from</w:t>
      </w:r>
      <w:r>
        <w:t xml:space="preserve"> TESSA and TESS-India</w:t>
      </w:r>
      <w:r w:rsidR="00095E3B">
        <w:t>, which</w:t>
      </w:r>
      <w:r>
        <w:t xml:space="preserve"> have been developed much more recently with all the advantages of new tools and increased connectivity.</w:t>
      </w:r>
    </w:p>
    <w:p w14:paraId="33BE8F11" w14:textId="61F181F8" w:rsidR="000D3703" w:rsidRPr="00141455" w:rsidRDefault="000D3703" w:rsidP="00FE7878">
      <w:pPr>
        <w:pStyle w:val="BodyCOL"/>
      </w:pPr>
      <w:r>
        <w:t>There is clearly a difference</w:t>
      </w:r>
      <w:r w:rsidR="00095E3B">
        <w:t xml:space="preserve"> between these OER sites</w:t>
      </w:r>
      <w:r>
        <w:t xml:space="preserve">. However, </w:t>
      </w:r>
      <w:r w:rsidR="00095E3B">
        <w:t xml:space="preserve">all three could be used by </w:t>
      </w:r>
      <w:r>
        <w:t xml:space="preserve">someone creating new OER today. The OER Africa Fort Hare resources </w:t>
      </w:r>
      <w:r w:rsidR="00095E3B">
        <w:t xml:space="preserve">are valuable </w:t>
      </w:r>
      <w:r>
        <w:t>because the ideas remain so strong</w:t>
      </w:r>
      <w:r w:rsidR="00D21449">
        <w:t>,</w:t>
      </w:r>
      <w:r w:rsidR="00095E3B">
        <w:t xml:space="preserve"> and</w:t>
      </w:r>
      <w:r>
        <w:t xml:space="preserve"> the more recent sites demonstrate contemporary thinking as well as new ways of presenting resources.</w:t>
      </w:r>
    </w:p>
    <w:p w14:paraId="30834B3B" w14:textId="77777777" w:rsidR="00AF47F2" w:rsidRDefault="00AF47F2">
      <w:pPr>
        <w:spacing w:after="0" w:line="240" w:lineRule="auto"/>
        <w:rPr>
          <w:rFonts w:ascii="Times" w:hAnsi="Times" w:cs="Times"/>
          <w:b/>
          <w:sz w:val="28"/>
          <w:szCs w:val="28"/>
        </w:rPr>
      </w:pPr>
      <w:r>
        <w:rPr>
          <w:rFonts w:ascii="Times" w:hAnsi="Times" w:cs="Times"/>
          <w:b/>
          <w:sz w:val="28"/>
          <w:szCs w:val="28"/>
        </w:rPr>
        <w:br w:type="page"/>
      </w:r>
    </w:p>
    <w:p w14:paraId="1DD52EC7" w14:textId="21D473FE" w:rsidR="00095E3B" w:rsidRDefault="000D3703" w:rsidP="00AF47F2">
      <w:pPr>
        <w:pStyle w:val="Heading1COL"/>
        <w:rPr>
          <w:i/>
        </w:rPr>
      </w:pPr>
      <w:r>
        <w:lastRenderedPageBreak/>
        <w:t xml:space="preserve">Section </w:t>
      </w:r>
      <w:r w:rsidR="004C01CC">
        <w:t>5</w:t>
      </w:r>
      <w:r w:rsidR="00AF47F2">
        <w:t>:</w:t>
      </w:r>
      <w:r w:rsidRPr="005B25A5">
        <w:t xml:space="preserve"> </w:t>
      </w:r>
      <w:r w:rsidR="00095E3B">
        <w:t xml:space="preserve">Versioning the </w:t>
      </w:r>
      <w:r w:rsidR="00095E3B" w:rsidRPr="00095E3B">
        <w:rPr>
          <w:i/>
        </w:rPr>
        <w:t>Blueprint and Toolkit</w:t>
      </w:r>
    </w:p>
    <w:p w14:paraId="1AB87F8E" w14:textId="794E16D4" w:rsidR="002F10DE" w:rsidRPr="005B25A5" w:rsidRDefault="002F10DE" w:rsidP="002F10DE">
      <w:pPr>
        <w:pStyle w:val="Heading2COL"/>
      </w:pPr>
      <w:r>
        <w:t>What Does Versioning Involve?</w:t>
      </w:r>
    </w:p>
    <w:p w14:paraId="4F048E35" w14:textId="760F88C9" w:rsidR="00E015E9" w:rsidRDefault="002F10DE" w:rsidP="002F10DE">
      <w:pPr>
        <w:pStyle w:val="BodyCOL"/>
      </w:pPr>
      <w:r>
        <w:t>As stated earlier, versioning the Toolkit for your local context to make the resources as authentic as possible is very important in helping to gain teachers’ support and respect.</w:t>
      </w:r>
    </w:p>
    <w:p w14:paraId="4CFF6BF3" w14:textId="335C2267" w:rsidR="002F10DE" w:rsidRDefault="002F10DE" w:rsidP="002F10DE">
      <w:pPr>
        <w:pStyle w:val="BodyCOL"/>
      </w:pPr>
      <w:r>
        <w:t xml:space="preserve">To version the document, you will need to read the entire Blueprint, but the majority of changes you make will be to the case studies (‘Another teacher’s experience’ and the activities. As will be explained below, this might mean </w:t>
      </w:r>
      <w:r w:rsidR="00D21449">
        <w:t xml:space="preserve">simply </w:t>
      </w:r>
      <w:r>
        <w:t xml:space="preserve">changing the name of </w:t>
      </w:r>
      <w:r w:rsidR="004465A1">
        <w:t>a</w:t>
      </w:r>
      <w:r>
        <w:t xml:space="preserve"> teacher, student or place to match your local context, changing the lesson content to more closely match your local curriculum</w:t>
      </w:r>
      <w:r w:rsidR="004465A1">
        <w:t>, or writing new case studies, activities or resources to increase the value of the Toolkit in your context.</w:t>
      </w:r>
    </w:p>
    <w:p w14:paraId="78CE95F9" w14:textId="162631F9" w:rsidR="004465A1" w:rsidRPr="005B25A5" w:rsidRDefault="004465A1" w:rsidP="004465A1">
      <w:pPr>
        <w:pStyle w:val="Heading2COL"/>
      </w:pPr>
      <w:r>
        <w:t>How to Mark Up the Word Document</w:t>
      </w:r>
    </w:p>
    <w:p w14:paraId="429F1A6B" w14:textId="0F3B3E16" w:rsidR="004465A1" w:rsidRDefault="004465A1" w:rsidP="002F10DE">
      <w:pPr>
        <w:pStyle w:val="BodyCOL"/>
        <w:rPr>
          <w:lang w:val="en-GB" w:eastAsia="en-GB"/>
        </w:rPr>
      </w:pPr>
      <w:r>
        <w:t>You will have received the file you need to version (</w:t>
      </w:r>
      <w:r w:rsidRPr="006A571C">
        <w:rPr>
          <w:i/>
          <w:lang w:val="en-GB" w:eastAsia="en-GB"/>
        </w:rPr>
        <w:t xml:space="preserve">A Blueprint </w:t>
      </w:r>
      <w:r>
        <w:rPr>
          <w:i/>
          <w:lang w:val="en-GB" w:eastAsia="en-GB"/>
        </w:rPr>
        <w:t xml:space="preserve">and Toolkit </w:t>
      </w:r>
      <w:r w:rsidRPr="006A571C">
        <w:rPr>
          <w:i/>
          <w:lang w:val="en-GB" w:eastAsia="en-GB"/>
        </w:rPr>
        <w:t>for School-Based Teacher Development: Secondary</w:t>
      </w:r>
      <w:r>
        <w:rPr>
          <w:lang w:val="en-GB" w:eastAsia="en-GB"/>
        </w:rPr>
        <w:t xml:space="preserve">) as a Word document. It would be extremely helpful if you could edit this document with ‘Track Changes’ enabled in Word (the file you receive should already have this box ticked). If you have any trouble using ‘Track Changes’, please do not hesitate to contact </w:t>
      </w:r>
      <w:r w:rsidR="00223C56">
        <w:rPr>
          <w:lang w:val="en-GB" w:eastAsia="en-GB"/>
        </w:rPr>
        <w:t>us</w:t>
      </w:r>
      <w:r>
        <w:rPr>
          <w:lang w:val="en-GB" w:eastAsia="en-GB"/>
        </w:rPr>
        <w:t xml:space="preserve">. </w:t>
      </w:r>
    </w:p>
    <w:p w14:paraId="65FF3D05" w14:textId="0BCEC1B3" w:rsidR="00D8213B" w:rsidRDefault="00D8213B" w:rsidP="002F10DE">
      <w:pPr>
        <w:pStyle w:val="BodyCOL"/>
        <w:rPr>
          <w:lang w:val="en-GB" w:eastAsia="en-GB"/>
        </w:rPr>
      </w:pPr>
      <w:r>
        <w:rPr>
          <w:lang w:val="en-GB" w:eastAsia="en-GB"/>
        </w:rPr>
        <w:t>As there is a limited amount of time for this initial part of the versioning process, we also ask that you submit your versioned copy of the Toolkit back to us in three stages:</w:t>
      </w:r>
    </w:p>
    <w:p w14:paraId="0BD4D158" w14:textId="65E58B20" w:rsidR="00D8213B" w:rsidRDefault="00D8213B" w:rsidP="00D8213B">
      <w:pPr>
        <w:pStyle w:val="BulletsCOL"/>
      </w:pPr>
      <w:r>
        <w:t>Questions 1–5</w:t>
      </w:r>
    </w:p>
    <w:p w14:paraId="5CDEAED2" w14:textId="3D2C5769" w:rsidR="00D8213B" w:rsidRDefault="00D8213B" w:rsidP="00D8213B">
      <w:pPr>
        <w:pStyle w:val="BulletsCOL"/>
      </w:pPr>
      <w:r>
        <w:t>Questions 6–7</w:t>
      </w:r>
    </w:p>
    <w:p w14:paraId="3217267D" w14:textId="6922345A" w:rsidR="00D8213B" w:rsidRDefault="00D8213B" w:rsidP="00D8213B">
      <w:pPr>
        <w:pStyle w:val="BulletsCOL"/>
      </w:pPr>
      <w:r>
        <w:t>Questions 8–10</w:t>
      </w:r>
    </w:p>
    <w:p w14:paraId="37E9D7EC" w14:textId="16705120" w:rsidR="000D3703" w:rsidRPr="005B25A5" w:rsidRDefault="000D3703" w:rsidP="00095E3B">
      <w:pPr>
        <w:pStyle w:val="Heading2COL"/>
      </w:pPr>
      <w:r w:rsidRPr="005B25A5">
        <w:t xml:space="preserve">Versioning </w:t>
      </w:r>
      <w:r w:rsidR="00C56D89">
        <w:t>L</w:t>
      </w:r>
      <w:r w:rsidRPr="005B25A5">
        <w:t>evels</w:t>
      </w:r>
    </w:p>
    <w:p w14:paraId="210D4922" w14:textId="40716F2E" w:rsidR="000D3703" w:rsidRDefault="000D3703" w:rsidP="00FE7878">
      <w:pPr>
        <w:pStyle w:val="BodyCOL"/>
      </w:pPr>
      <w:r>
        <w:t xml:space="preserve">As </w:t>
      </w:r>
      <w:r w:rsidR="00223C56">
        <w:t>explained in the introduction and above</w:t>
      </w:r>
      <w:r w:rsidR="00095E3B">
        <w:t>,</w:t>
      </w:r>
      <w:r>
        <w:t xml:space="preserve"> versioning can be worked through at a number of levels. Three are suggested here</w:t>
      </w:r>
      <w:r w:rsidR="00D8213B">
        <w:t xml:space="preserve"> and explored in more detail below</w:t>
      </w:r>
      <w:r>
        <w:t>:</w:t>
      </w:r>
    </w:p>
    <w:p w14:paraId="15BB735F" w14:textId="631E99E1" w:rsidR="000D3703" w:rsidRDefault="000D3703" w:rsidP="00FE7878">
      <w:pPr>
        <w:pStyle w:val="BulletsCOL"/>
      </w:pPr>
      <w:r w:rsidRPr="00123BCB">
        <w:t>Level 1</w:t>
      </w:r>
      <w:r w:rsidR="00095E3B">
        <w:t>:</w:t>
      </w:r>
      <w:r w:rsidRPr="00123BCB">
        <w:t xml:space="preserve"> Surface changes to</w:t>
      </w:r>
      <w:r w:rsidR="00223C56">
        <w:t xml:space="preserve"> ensure authenticity to context (e.g. changing a teacher’s name)</w:t>
      </w:r>
    </w:p>
    <w:p w14:paraId="5345CB11" w14:textId="1DE91354" w:rsidR="000D3703" w:rsidRPr="0066185E" w:rsidRDefault="000D3703" w:rsidP="00FE7878">
      <w:pPr>
        <w:pStyle w:val="BulletsCOL"/>
      </w:pPr>
      <w:r w:rsidRPr="0066185E">
        <w:t>Level 2</w:t>
      </w:r>
      <w:r w:rsidR="00095E3B">
        <w:t>:</w:t>
      </w:r>
      <w:r w:rsidRPr="0066185E">
        <w:t xml:space="preserve"> Adaption of activities and texts to represent the specific curriculum and assess</w:t>
      </w:r>
      <w:r>
        <w:t>ment context of the target audience</w:t>
      </w:r>
      <w:r w:rsidR="00223C56">
        <w:t xml:space="preserve"> (e.g. </w:t>
      </w:r>
      <w:r w:rsidR="00404C7D">
        <w:t>modifying a subject</w:t>
      </w:r>
      <w:r w:rsidR="004D506E">
        <w:t>-</w:t>
      </w:r>
      <w:r w:rsidR="00404C7D">
        <w:t>based activity to address a specific part of the country curriculum you are working in)</w:t>
      </w:r>
    </w:p>
    <w:p w14:paraId="0D1A23F9" w14:textId="3B5BD64E" w:rsidR="00404C7D" w:rsidRDefault="000D3703" w:rsidP="00404C7D">
      <w:pPr>
        <w:pStyle w:val="BulletsCOL"/>
      </w:pPr>
      <w:r w:rsidRPr="00123BCB">
        <w:t>Level 3</w:t>
      </w:r>
      <w:r w:rsidR="00095E3B">
        <w:t>:</w:t>
      </w:r>
      <w:r w:rsidRPr="00123BCB">
        <w:t xml:space="preserve"> Incorporation of new el</w:t>
      </w:r>
      <w:r>
        <w:t>ements to significantly locali</w:t>
      </w:r>
      <w:r w:rsidR="00C56D89">
        <w:t>s</w:t>
      </w:r>
      <w:r>
        <w:t>e the resources</w:t>
      </w:r>
      <w:r w:rsidR="00223C56">
        <w:t xml:space="preserve"> (e.g. adding</w:t>
      </w:r>
      <w:r w:rsidR="00404C7D">
        <w:t xml:space="preserve"> a new question that addresses a current local policy initiative, </w:t>
      </w:r>
      <w:r w:rsidR="004D506E">
        <w:t>such as one related</w:t>
      </w:r>
      <w:r w:rsidR="00404C7D">
        <w:t xml:space="preserve"> to</w:t>
      </w:r>
      <w:r w:rsidR="004D506E">
        <w:t xml:space="preserve"> </w:t>
      </w:r>
      <w:r w:rsidR="00404C7D">
        <w:t>gender issues)</w:t>
      </w:r>
    </w:p>
    <w:p w14:paraId="70A09DDC" w14:textId="77777777" w:rsidR="00D21449" w:rsidRDefault="00404C7D" w:rsidP="00FE7878">
      <w:pPr>
        <w:pStyle w:val="BodyCOL"/>
      </w:pPr>
      <w:r>
        <w:t>It is important to remember that these resources can be versioned over time. You might like to begin with versioning at Level 1, see how it goes in practice and then version again.</w:t>
      </w:r>
      <w:r w:rsidR="004D506E">
        <w:t xml:space="preserve"> </w:t>
      </w:r>
    </w:p>
    <w:p w14:paraId="1923DD38" w14:textId="42D12D08" w:rsidR="000D3703" w:rsidRDefault="000D3703" w:rsidP="00FE7878">
      <w:pPr>
        <w:pStyle w:val="BodyCOL"/>
      </w:pPr>
      <w:r>
        <w:t xml:space="preserve">You can also </w:t>
      </w:r>
      <w:r w:rsidR="00D8213B">
        <w:t xml:space="preserve">carry out </w:t>
      </w:r>
      <w:r>
        <w:t xml:space="preserve">different </w:t>
      </w:r>
      <w:r w:rsidR="00D8213B">
        <w:t xml:space="preserve">aspects of the versioning </w:t>
      </w:r>
      <w:r>
        <w:t xml:space="preserve">in parallel. For example, one </w:t>
      </w:r>
      <w:r w:rsidR="00D21449">
        <w:t>person could</w:t>
      </w:r>
      <w:r>
        <w:t xml:space="preserve"> be working through the resources to make names </w:t>
      </w:r>
      <w:r w:rsidR="00E015E9">
        <w:t xml:space="preserve">(for example of people and places) </w:t>
      </w:r>
      <w:r>
        <w:t xml:space="preserve">fit </w:t>
      </w:r>
      <w:r w:rsidR="00E015E9">
        <w:t xml:space="preserve">your </w:t>
      </w:r>
      <w:r>
        <w:t>local</w:t>
      </w:r>
      <w:r w:rsidR="00E015E9">
        <w:t xml:space="preserve"> context, </w:t>
      </w:r>
      <w:r>
        <w:t>whil</w:t>
      </w:r>
      <w:r w:rsidR="00E015E9">
        <w:t>e</w:t>
      </w:r>
      <w:r>
        <w:t xml:space="preserve"> another develops one or two substantive activities or local case studies relevant to the purpose of the Toolkit. For example</w:t>
      </w:r>
      <w:r w:rsidR="00D8213B">
        <w:t>,</w:t>
      </w:r>
      <w:r>
        <w:t xml:space="preserve"> there are 21 activities in the existing Toolkit. It would be possible to add </w:t>
      </w:r>
      <w:r w:rsidR="00D8213B">
        <w:t>two</w:t>
      </w:r>
      <w:r>
        <w:t xml:space="preserve"> or </w:t>
      </w:r>
      <w:r w:rsidR="00D8213B">
        <w:t>three</w:t>
      </w:r>
      <w:r>
        <w:t xml:space="preserve"> more at the end that suggest </w:t>
      </w:r>
      <w:r>
        <w:lastRenderedPageBreak/>
        <w:t>or introduce a next stage of school-based professional development envisaged for your context.</w:t>
      </w:r>
    </w:p>
    <w:p w14:paraId="0FEA6CE3" w14:textId="77777777" w:rsidR="000D3703" w:rsidRPr="0066185E" w:rsidRDefault="000D3703" w:rsidP="007B6F9A">
      <w:pPr>
        <w:pStyle w:val="Heading3COL"/>
      </w:pPr>
      <w:r w:rsidRPr="0066185E">
        <w:t>Level 1</w:t>
      </w:r>
      <w:r w:rsidR="00C56D89">
        <w:t>:</w:t>
      </w:r>
      <w:r w:rsidRPr="0066185E">
        <w:t xml:space="preserve"> Surface </w:t>
      </w:r>
      <w:r w:rsidR="00C56D89">
        <w:t>C</w:t>
      </w:r>
      <w:r w:rsidRPr="0066185E">
        <w:t xml:space="preserve">hanges to </w:t>
      </w:r>
      <w:r w:rsidR="00C56D89">
        <w:t>E</w:t>
      </w:r>
      <w:r w:rsidRPr="0066185E">
        <w:t xml:space="preserve">nsure </w:t>
      </w:r>
      <w:r w:rsidR="00C56D89">
        <w:t>A</w:t>
      </w:r>
      <w:r w:rsidRPr="0066185E">
        <w:t xml:space="preserve">uthenticity to </w:t>
      </w:r>
      <w:r w:rsidR="00C56D89">
        <w:t>C</w:t>
      </w:r>
      <w:r w:rsidRPr="0066185E">
        <w:t>ontext</w:t>
      </w:r>
    </w:p>
    <w:p w14:paraId="5269D5F2" w14:textId="77777777" w:rsidR="00331F51" w:rsidRDefault="000D3703" w:rsidP="00FE7878">
      <w:pPr>
        <w:pStyle w:val="BodyCOL"/>
      </w:pPr>
      <w:r>
        <w:t>This really speaks for itself. The teachers</w:t>
      </w:r>
      <w:r w:rsidR="009E4DF0">
        <w:t>’ and students’</w:t>
      </w:r>
      <w:r>
        <w:t xml:space="preserve"> names used in the text can be changed to reflect </w:t>
      </w:r>
      <w:r w:rsidR="00331F51">
        <w:t>your</w:t>
      </w:r>
      <w:r>
        <w:t xml:space="preserve"> </w:t>
      </w:r>
      <w:r w:rsidR="00331F51">
        <w:t xml:space="preserve">country or </w:t>
      </w:r>
      <w:r>
        <w:t xml:space="preserve">local context. Some of the activities and discussion reference </w:t>
      </w:r>
      <w:r w:rsidR="009E4DF0">
        <w:t xml:space="preserve">local </w:t>
      </w:r>
      <w:r>
        <w:t>animals</w:t>
      </w:r>
      <w:r w:rsidR="009E4DF0">
        <w:t xml:space="preserve"> or geography</w:t>
      </w:r>
      <w:r>
        <w:t>. Again</w:t>
      </w:r>
      <w:r w:rsidR="009E4DF0">
        <w:t>,</w:t>
      </w:r>
      <w:r>
        <w:t xml:space="preserve"> </w:t>
      </w:r>
      <w:r w:rsidR="00331F51">
        <w:t xml:space="preserve">you could change these </w:t>
      </w:r>
      <w:r>
        <w:t>to r</w:t>
      </w:r>
      <w:r w:rsidR="00331F51">
        <w:t>eflect</w:t>
      </w:r>
      <w:r>
        <w:t xml:space="preserve"> </w:t>
      </w:r>
      <w:r w:rsidR="00331F51">
        <w:t>your country or a specific local area within it</w:t>
      </w:r>
      <w:r>
        <w:t xml:space="preserve">. </w:t>
      </w:r>
    </w:p>
    <w:p w14:paraId="2F5FF524" w14:textId="41418C77" w:rsidR="000D3703" w:rsidRDefault="000D3703" w:rsidP="00FE7878">
      <w:pPr>
        <w:pStyle w:val="BodyCOL"/>
      </w:pPr>
      <w:r>
        <w:t xml:space="preserve">The authors of the Toolkit have attempted to keep the text free of particularly loaded cultural references. But please read the text carefully and make changes if necessary. </w:t>
      </w:r>
    </w:p>
    <w:p w14:paraId="0F4C3428" w14:textId="77777777" w:rsidR="000D3703" w:rsidRPr="00C56D89" w:rsidRDefault="000D3703" w:rsidP="007B6F9A">
      <w:pPr>
        <w:pStyle w:val="Heading3COL"/>
      </w:pPr>
      <w:r w:rsidRPr="00C56D89">
        <w:t>Level 2</w:t>
      </w:r>
      <w:r w:rsidR="00C56D89">
        <w:t>:</w:t>
      </w:r>
      <w:r w:rsidRPr="00C56D89">
        <w:t xml:space="preserve"> Adaption of </w:t>
      </w:r>
      <w:r w:rsidR="00C56D89">
        <w:t>A</w:t>
      </w:r>
      <w:r w:rsidRPr="00C56D89">
        <w:t xml:space="preserve">ctivities and </w:t>
      </w:r>
      <w:r w:rsidR="00C56D89">
        <w:t>T</w:t>
      </w:r>
      <w:r w:rsidRPr="00C56D89">
        <w:t xml:space="preserve">exts to </w:t>
      </w:r>
      <w:r w:rsidR="00C56D89">
        <w:t>R</w:t>
      </w:r>
      <w:r w:rsidRPr="00C56D89">
        <w:t xml:space="preserve">epresent the </w:t>
      </w:r>
      <w:r w:rsidR="00C56D89">
        <w:t>S</w:t>
      </w:r>
      <w:r w:rsidRPr="00C56D89">
        <w:t xml:space="preserve">pecific </w:t>
      </w:r>
      <w:r w:rsidR="00C56D89">
        <w:t>C</w:t>
      </w:r>
      <w:r w:rsidRPr="00C56D89">
        <w:t xml:space="preserve">urriculum and </w:t>
      </w:r>
      <w:r w:rsidR="00C56D89">
        <w:t>A</w:t>
      </w:r>
      <w:r w:rsidRPr="00C56D89">
        <w:t xml:space="preserve">ssessment </w:t>
      </w:r>
      <w:r w:rsidR="00C56D89">
        <w:t>C</w:t>
      </w:r>
      <w:r w:rsidRPr="00C56D89">
        <w:t xml:space="preserve">ontext of the </w:t>
      </w:r>
      <w:r w:rsidR="00C56D89">
        <w:t>T</w:t>
      </w:r>
      <w:r w:rsidRPr="00C56D89">
        <w:t xml:space="preserve">arget </w:t>
      </w:r>
      <w:r w:rsidR="00C56D89">
        <w:t>A</w:t>
      </w:r>
      <w:r w:rsidRPr="00C56D89">
        <w:t>udience</w:t>
      </w:r>
    </w:p>
    <w:p w14:paraId="7979A058" w14:textId="0AB68C1F" w:rsidR="000D3703" w:rsidRDefault="000D3703" w:rsidP="00FE7878">
      <w:pPr>
        <w:pStyle w:val="BodyCOL"/>
      </w:pPr>
      <w:r>
        <w:t>The Toolkit is organi</w:t>
      </w:r>
      <w:r w:rsidR="00C56D89">
        <w:t>s</w:t>
      </w:r>
      <w:r>
        <w:t xml:space="preserve">ed around ten key questions. The first five look at teaching values and skills that are universal. Questions </w:t>
      </w:r>
      <w:r w:rsidR="001D77A7">
        <w:t>6–10</w:t>
      </w:r>
      <w:r>
        <w:t xml:space="preserve"> are also generic</w:t>
      </w:r>
      <w:r w:rsidR="004E7B01">
        <w:t>,</w:t>
      </w:r>
      <w:r>
        <w:t xml:space="preserve"> but it is here that it is possible to introduce changes to represent local circumstances. Questions 6, 7 and 8 are particularly designed for this. For example</w:t>
      </w:r>
      <w:r w:rsidR="004E7B01">
        <w:t>,</w:t>
      </w:r>
      <w:r>
        <w:t xml:space="preserve"> Question 6 looks at how teachers can develop subject knowledge. An example is giv</w:t>
      </w:r>
      <w:r w:rsidR="004E7B01">
        <w:t>e</w:t>
      </w:r>
      <w:r>
        <w:t>n of how some ‘Big Ideas’ in the science curriculum can be developed. This would be an opportunity to put alongside examples from the local science curriculum (and some other subjects). In the same section</w:t>
      </w:r>
      <w:r w:rsidR="004E7B01">
        <w:t>,</w:t>
      </w:r>
      <w:r>
        <w:t xml:space="preserve"> an example is given of an Australian curriculum network focused on changes in the Earth’s </w:t>
      </w:r>
      <w:r w:rsidR="004E7B01">
        <w:t>s</w:t>
      </w:r>
      <w:r>
        <w:t>urface. If similar examples exist locally</w:t>
      </w:r>
      <w:r w:rsidR="004E7B01">
        <w:t>,</w:t>
      </w:r>
      <w:r>
        <w:t xml:space="preserve"> they can be </w:t>
      </w:r>
      <w:r w:rsidR="004E7B01">
        <w:t>included</w:t>
      </w:r>
      <w:r>
        <w:t xml:space="preserve"> alongside this</w:t>
      </w:r>
      <w:r w:rsidR="004E7B01">
        <w:t>.</w:t>
      </w:r>
    </w:p>
    <w:p w14:paraId="617DE35B" w14:textId="77777777" w:rsidR="000D3703" w:rsidRDefault="000D3703" w:rsidP="007B6F9A">
      <w:pPr>
        <w:pStyle w:val="Heading3COL"/>
      </w:pPr>
      <w:r w:rsidRPr="00123BCB">
        <w:t>Level 3</w:t>
      </w:r>
      <w:r w:rsidR="00C56D89">
        <w:t>:</w:t>
      </w:r>
      <w:r w:rsidRPr="00123BCB">
        <w:t xml:space="preserve"> Incorporation of </w:t>
      </w:r>
      <w:r w:rsidR="00C56D89">
        <w:t>N</w:t>
      </w:r>
      <w:r w:rsidRPr="00123BCB">
        <w:t xml:space="preserve">ew </w:t>
      </w:r>
      <w:r w:rsidR="00C56D89">
        <w:t>E</w:t>
      </w:r>
      <w:r w:rsidRPr="00123BCB">
        <w:t>l</w:t>
      </w:r>
      <w:r>
        <w:t xml:space="preserve">ements to </w:t>
      </w:r>
      <w:r w:rsidR="00C56D89">
        <w:t>L</w:t>
      </w:r>
      <w:r>
        <w:t>ocali</w:t>
      </w:r>
      <w:r w:rsidR="00C56D89">
        <w:t>s</w:t>
      </w:r>
      <w:r>
        <w:t xml:space="preserve">e the </w:t>
      </w:r>
      <w:r w:rsidR="00C56D89">
        <w:t>R</w:t>
      </w:r>
      <w:r>
        <w:t>esources</w:t>
      </w:r>
      <w:r w:rsidR="00C56D89">
        <w:t xml:space="preserve"> </w:t>
      </w:r>
    </w:p>
    <w:p w14:paraId="3587F59F" w14:textId="182A4167" w:rsidR="000D3703" w:rsidRDefault="000D3703" w:rsidP="00FE7878">
      <w:pPr>
        <w:pStyle w:val="BodyCOL"/>
      </w:pPr>
      <w:r>
        <w:t>In some local contexts</w:t>
      </w:r>
      <w:r w:rsidR="00331F51">
        <w:t>,</w:t>
      </w:r>
      <w:r>
        <w:t xml:space="preserve"> there may be initiatives that </w:t>
      </w:r>
      <w:r w:rsidR="004E7B01">
        <w:t>you feel</w:t>
      </w:r>
      <w:r>
        <w:t xml:space="preserve"> should be included in the Toolkit. For example</w:t>
      </w:r>
      <w:r w:rsidR="004E7B01">
        <w:t>,</w:t>
      </w:r>
      <w:r>
        <w:t xml:space="preserve"> if a new assessment system has recently been introduced</w:t>
      </w:r>
      <w:r w:rsidR="004E7B01">
        <w:t>,</w:t>
      </w:r>
      <w:r>
        <w:t xml:space="preserve"> then </w:t>
      </w:r>
      <w:r w:rsidR="004E7B01">
        <w:t xml:space="preserve">you could include </w:t>
      </w:r>
      <w:r>
        <w:t>examples by replacing existing Toolkit activities. It might also be possible to replace an existing question in the Toolkit. For example</w:t>
      </w:r>
      <w:r w:rsidR="004E7B01">
        <w:t>,</w:t>
      </w:r>
      <w:r>
        <w:t xml:space="preserve"> Question 8 on using the local environment might be taken out and a new question formulated around assessment or whichever issue </w:t>
      </w:r>
      <w:r w:rsidR="004E7B01">
        <w:t xml:space="preserve">you consider needs </w:t>
      </w:r>
      <w:r>
        <w:t>prioriti</w:t>
      </w:r>
      <w:r w:rsidR="004E7B01">
        <w:t>s</w:t>
      </w:r>
      <w:r>
        <w:t>ing. Additional questions c</w:t>
      </w:r>
      <w:r w:rsidR="004E7B01">
        <w:t>ould</w:t>
      </w:r>
      <w:r>
        <w:t xml:space="preserve"> also be added to the end of the Toolkit.</w:t>
      </w:r>
    </w:p>
    <w:p w14:paraId="32CDE3C2" w14:textId="495BDD8F" w:rsidR="00244527" w:rsidRDefault="000D3703" w:rsidP="004D506E">
      <w:pPr>
        <w:pStyle w:val="BodyCOL"/>
      </w:pPr>
      <w:r>
        <w:t>Three final points to remember. First, as already discussed above, this is a Toolkit about introducing the process of school-based teacher development. Important topics for professional development are introduced</w:t>
      </w:r>
      <w:r w:rsidR="004E7B01">
        <w:t xml:space="preserve"> in the Toolkit,</w:t>
      </w:r>
      <w:r>
        <w:t xml:space="preserve"> but all will need subsequent follow</w:t>
      </w:r>
      <w:r w:rsidR="004E7B01">
        <w:t>-</w:t>
      </w:r>
      <w:r>
        <w:t>up. It is importan</w:t>
      </w:r>
      <w:r w:rsidR="004D506E">
        <w:t xml:space="preserve">t not to overload this resource </w:t>
      </w:r>
      <w:r w:rsidR="00404C7D">
        <w:t xml:space="preserve">through adding too many resources that go beyond the </w:t>
      </w:r>
      <w:r w:rsidR="004D506E">
        <w:t>main</w:t>
      </w:r>
      <w:r w:rsidR="00404C7D">
        <w:t xml:space="preserve"> purpose of the Toolkit.</w:t>
      </w:r>
      <w:r w:rsidR="004D506E">
        <w:t xml:space="preserve"> </w:t>
      </w:r>
      <w:r>
        <w:t xml:space="preserve">Secondly, the Toolkit is an </w:t>
      </w:r>
      <w:r w:rsidR="004E7B01">
        <w:t>o</w:t>
      </w:r>
      <w:r>
        <w:t xml:space="preserve">pen </w:t>
      </w:r>
      <w:r w:rsidR="004E7B01">
        <w:t>e</w:t>
      </w:r>
      <w:r>
        <w:t xml:space="preserve">ducational </w:t>
      </w:r>
      <w:r w:rsidR="004E7B01">
        <w:t>r</w:t>
      </w:r>
      <w:r>
        <w:t xml:space="preserve">esource that you can take and adapt without worrying about infringing copyright. However, in carrying out the adaptation </w:t>
      </w:r>
      <w:r w:rsidRPr="004E7B01">
        <w:t>it is important not to compromise the open nature of the resource by introducing copyright material without the necessary permissions</w:t>
      </w:r>
      <w:r>
        <w:t>. Thirdly, in the spirit of the OER movement</w:t>
      </w:r>
      <w:r w:rsidR="004E7B01">
        <w:t>,</w:t>
      </w:r>
      <w:r>
        <w:t xml:space="preserve"> C</w:t>
      </w:r>
      <w:r w:rsidR="004E7B01">
        <w:t>OL</w:t>
      </w:r>
      <w:r>
        <w:t xml:space="preserve"> would like others to learn from your experience. You are there</w:t>
      </w:r>
      <w:r w:rsidR="004E7B01">
        <w:t>f</w:t>
      </w:r>
      <w:r>
        <w:t xml:space="preserve">ore to lodge your version of the Toolkit </w:t>
      </w:r>
      <w:r w:rsidR="00404C7D">
        <w:t>with COL</w:t>
      </w:r>
      <w:r w:rsidR="004D506E">
        <w:t>.</w:t>
      </w:r>
    </w:p>
    <w:sectPr w:rsidR="00244527" w:rsidSect="001E0174">
      <w:footerReference w:type="even" r:id="rId11"/>
      <w:foot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5A931" w14:textId="77777777" w:rsidR="00B642B2" w:rsidRDefault="00B642B2">
      <w:pPr>
        <w:spacing w:after="0" w:line="240" w:lineRule="auto"/>
      </w:pPr>
      <w:r>
        <w:separator/>
      </w:r>
    </w:p>
  </w:endnote>
  <w:endnote w:type="continuationSeparator" w:id="0">
    <w:p w14:paraId="6CF20CCD" w14:textId="77777777" w:rsidR="00B642B2" w:rsidRDefault="00B64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one Sans ITC Std Medium">
    <w:altName w:val="Calibri"/>
    <w:panose1 w:val="00000000000000000000"/>
    <w:charset w:val="00"/>
    <w:family w:val="modern"/>
    <w:notTrueType/>
    <w:pitch w:val="variable"/>
    <w:sig w:usb0="800000AF" w:usb1="5000205B" w:usb2="00000004"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0494E" w14:textId="77777777" w:rsidR="00B316D9" w:rsidRDefault="004C6428" w:rsidP="00BE32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3912EC" w14:textId="77777777" w:rsidR="00B316D9" w:rsidRDefault="00B642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95EBE" w14:textId="77777777" w:rsidR="00B316D9" w:rsidRDefault="004C6428" w:rsidP="00BE32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20F4">
      <w:rPr>
        <w:rStyle w:val="PageNumber"/>
        <w:noProof/>
      </w:rPr>
      <w:t>1</w:t>
    </w:r>
    <w:r>
      <w:rPr>
        <w:rStyle w:val="PageNumber"/>
      </w:rPr>
      <w:fldChar w:fldCharType="end"/>
    </w:r>
  </w:p>
  <w:p w14:paraId="0724599F" w14:textId="77777777" w:rsidR="00B316D9" w:rsidRDefault="00B6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D3B58" w14:textId="77777777" w:rsidR="00B642B2" w:rsidRDefault="00B642B2">
      <w:pPr>
        <w:spacing w:after="0" w:line="240" w:lineRule="auto"/>
      </w:pPr>
      <w:r>
        <w:separator/>
      </w:r>
    </w:p>
  </w:footnote>
  <w:footnote w:type="continuationSeparator" w:id="0">
    <w:p w14:paraId="08C95852" w14:textId="77777777" w:rsidR="00B642B2" w:rsidRDefault="00B642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2"/>
      <w:numFmt w:val="bullet"/>
      <w:lvlText w:val="."/>
      <w:lvlJc w:val="left"/>
      <w:pPr>
        <w:ind w:left="64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C152AF"/>
    <w:multiLevelType w:val="hybridMultilevel"/>
    <w:tmpl w:val="E8EC2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2F633B"/>
    <w:multiLevelType w:val="hybridMultilevel"/>
    <w:tmpl w:val="5748E214"/>
    <w:lvl w:ilvl="0" w:tplc="53101F0C">
      <w:start w:val="1"/>
      <w:numFmt w:val="bullet"/>
      <w:pStyle w:val="BulletsCO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E86CD6"/>
    <w:multiLevelType w:val="hybridMultilevel"/>
    <w:tmpl w:val="3EC8DA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CF64EC"/>
    <w:multiLevelType w:val="multilevel"/>
    <w:tmpl w:val="7D66318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pStyle w:val="Heading3"/>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6" w15:restartNumberingAfterBreak="0">
    <w:nsid w:val="4E58417F"/>
    <w:multiLevelType w:val="multilevel"/>
    <w:tmpl w:val="C9623A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5C3E061D"/>
    <w:multiLevelType w:val="hybridMultilevel"/>
    <w:tmpl w:val="6E7C0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7E5DA8"/>
    <w:multiLevelType w:val="hybridMultilevel"/>
    <w:tmpl w:val="7C066F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7"/>
  </w:num>
  <w:num w:numId="5">
    <w:abstractNumId w:val="4"/>
  </w:num>
  <w:num w:numId="6">
    <w:abstractNumId w:val="0"/>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703"/>
    <w:rsid w:val="00012A0D"/>
    <w:rsid w:val="00095E3B"/>
    <w:rsid w:val="000D3703"/>
    <w:rsid w:val="00153862"/>
    <w:rsid w:val="001C681F"/>
    <w:rsid w:val="001D77A7"/>
    <w:rsid w:val="002120F4"/>
    <w:rsid w:val="00223C56"/>
    <w:rsid w:val="002477BD"/>
    <w:rsid w:val="00292A61"/>
    <w:rsid w:val="002F10DE"/>
    <w:rsid w:val="00331F51"/>
    <w:rsid w:val="003526CA"/>
    <w:rsid w:val="003B3ED8"/>
    <w:rsid w:val="00404C7D"/>
    <w:rsid w:val="004421F9"/>
    <w:rsid w:val="00445A01"/>
    <w:rsid w:val="004465A1"/>
    <w:rsid w:val="00464F48"/>
    <w:rsid w:val="004C01CC"/>
    <w:rsid w:val="004C1641"/>
    <w:rsid w:val="004C6428"/>
    <w:rsid w:val="004D506E"/>
    <w:rsid w:val="004E1FBB"/>
    <w:rsid w:val="004E7B01"/>
    <w:rsid w:val="0055593C"/>
    <w:rsid w:val="005705AE"/>
    <w:rsid w:val="005748CC"/>
    <w:rsid w:val="005B04BF"/>
    <w:rsid w:val="00600394"/>
    <w:rsid w:val="006A571C"/>
    <w:rsid w:val="00707D5D"/>
    <w:rsid w:val="00784AAC"/>
    <w:rsid w:val="007B6F9A"/>
    <w:rsid w:val="00846A99"/>
    <w:rsid w:val="0099054F"/>
    <w:rsid w:val="009E4DF0"/>
    <w:rsid w:val="00A0442A"/>
    <w:rsid w:val="00A17FAE"/>
    <w:rsid w:val="00AF47F2"/>
    <w:rsid w:val="00B642B2"/>
    <w:rsid w:val="00C50EBA"/>
    <w:rsid w:val="00C56A66"/>
    <w:rsid w:val="00C56D89"/>
    <w:rsid w:val="00CD23B4"/>
    <w:rsid w:val="00D21449"/>
    <w:rsid w:val="00D54979"/>
    <w:rsid w:val="00D8035D"/>
    <w:rsid w:val="00D8213B"/>
    <w:rsid w:val="00DA5AFD"/>
    <w:rsid w:val="00DE3D4D"/>
    <w:rsid w:val="00E015E9"/>
    <w:rsid w:val="00E51D3E"/>
    <w:rsid w:val="00EA2429"/>
    <w:rsid w:val="00EA75C2"/>
    <w:rsid w:val="00EB720D"/>
    <w:rsid w:val="00F25D95"/>
    <w:rsid w:val="00F6200E"/>
    <w:rsid w:val="00FA0AA6"/>
    <w:rsid w:val="00FE78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DD1541"/>
  <w15:docId w15:val="{2ED09B40-C3C3-E84E-8AB7-07119DF0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0F4"/>
    <w:pPr>
      <w:spacing w:after="160" w:line="259" w:lineRule="auto"/>
    </w:pPr>
    <w:rPr>
      <w:sz w:val="22"/>
      <w:szCs w:val="22"/>
      <w:lang w:val="en-CA"/>
    </w:rPr>
  </w:style>
  <w:style w:type="paragraph" w:styleId="Heading1">
    <w:name w:val="heading 1"/>
    <w:basedOn w:val="Normal"/>
    <w:next w:val="Normal"/>
    <w:link w:val="Heading1Char"/>
    <w:uiPriority w:val="9"/>
    <w:qFormat/>
    <w:rsid w:val="007B6F9A"/>
    <w:pPr>
      <w:outlineLvl w:val="0"/>
    </w:pPr>
    <w:rPr>
      <w:rFonts w:ascii="Stone Sans ITC Std Medium" w:hAnsi="Stone Sans ITC Std Medium"/>
      <w:b/>
      <w:color w:val="463691"/>
      <w:sz w:val="28"/>
      <w:szCs w:val="28"/>
    </w:rPr>
  </w:style>
  <w:style w:type="paragraph" w:styleId="Heading2">
    <w:name w:val="heading 2"/>
    <w:basedOn w:val="Normal"/>
    <w:next w:val="Normal"/>
    <w:link w:val="Heading2Char"/>
    <w:unhideWhenUsed/>
    <w:qFormat/>
    <w:rsid w:val="007B6F9A"/>
    <w:pPr>
      <w:keepNext/>
      <w:keepLines/>
      <w:spacing w:before="40" w:after="0"/>
      <w:outlineLvl w:val="1"/>
    </w:pPr>
    <w:rPr>
      <w:rFonts w:eastAsiaTheme="majorEastAsia" w:cstheme="majorBidi"/>
      <w:b/>
      <w:color w:val="463691"/>
      <w:sz w:val="26"/>
      <w:szCs w:val="26"/>
    </w:rPr>
  </w:style>
  <w:style w:type="paragraph" w:styleId="Heading3">
    <w:name w:val="heading 3"/>
    <w:basedOn w:val="Normal"/>
    <w:next w:val="Normal"/>
    <w:link w:val="Heading3Char"/>
    <w:unhideWhenUsed/>
    <w:qFormat/>
    <w:rsid w:val="007B6F9A"/>
    <w:pPr>
      <w:keepNext/>
      <w:keepLines/>
      <w:numPr>
        <w:ilvl w:val="2"/>
        <w:numId w:val="1"/>
      </w:numPr>
      <w:spacing w:before="320" w:after="120" w:line="276" w:lineRule="auto"/>
      <w:ind w:left="720"/>
      <w:outlineLvl w:val="2"/>
    </w:pPr>
    <w:rPr>
      <w:rFonts w:eastAsiaTheme="majorEastAsia" w:cstheme="majorBidi"/>
      <w:b/>
      <w:color w:val="463691"/>
    </w:rPr>
  </w:style>
  <w:style w:type="paragraph" w:styleId="Heading4">
    <w:name w:val="heading 4"/>
    <w:basedOn w:val="Normal"/>
    <w:next w:val="Normal"/>
    <w:link w:val="Heading4Char"/>
    <w:unhideWhenUsed/>
    <w:qFormat/>
    <w:rsid w:val="007B6F9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rsid w:val="007B6F9A"/>
    <w:pPr>
      <w:keepNext/>
      <w:keepLines/>
      <w:spacing w:before="240" w:after="80" w:line="276" w:lineRule="auto"/>
      <w:contextualSpacing/>
      <w:outlineLvl w:val="4"/>
    </w:pPr>
    <w:rPr>
      <w:rFonts w:ascii="Arial" w:eastAsia="Arial" w:hAnsi="Arial" w:cs="Arial"/>
      <w:color w:val="666666"/>
    </w:rPr>
  </w:style>
  <w:style w:type="paragraph" w:styleId="Heading6">
    <w:name w:val="heading 6"/>
    <w:basedOn w:val="Normal"/>
    <w:next w:val="Normal"/>
    <w:link w:val="Heading6Char"/>
    <w:rsid w:val="007B6F9A"/>
    <w:pPr>
      <w:keepNext/>
      <w:keepLines/>
      <w:spacing w:before="240" w:after="80" w:line="276" w:lineRule="auto"/>
      <w:contextualSpacing/>
      <w:outlineLvl w:val="5"/>
    </w:pPr>
    <w:rPr>
      <w:rFonts w:ascii="Arial" w:eastAsia="Arial" w:hAnsi="Arial" w:cs="Arial"/>
      <w:i/>
      <w:color w:val="666666"/>
    </w:rPr>
  </w:style>
  <w:style w:type="character" w:default="1" w:styleId="DefaultParagraphFont">
    <w:name w:val="Default Paragraph Font"/>
    <w:uiPriority w:val="1"/>
    <w:semiHidden/>
    <w:unhideWhenUsed/>
    <w:rsid w:val="002120F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20F4"/>
  </w:style>
  <w:style w:type="character" w:customStyle="1" w:styleId="Heading1Char">
    <w:name w:val="Heading 1 Char"/>
    <w:basedOn w:val="DefaultParagraphFont"/>
    <w:link w:val="Heading1"/>
    <w:uiPriority w:val="9"/>
    <w:rsid w:val="007B6F9A"/>
    <w:rPr>
      <w:rFonts w:ascii="Stone Sans ITC Std Medium" w:hAnsi="Stone Sans ITC Std Medium" w:cs="Times New Roman"/>
      <w:b/>
      <w:color w:val="463691"/>
      <w:sz w:val="28"/>
      <w:szCs w:val="28"/>
      <w:lang w:val="en-US"/>
    </w:rPr>
  </w:style>
  <w:style w:type="character" w:customStyle="1" w:styleId="Heading2Char">
    <w:name w:val="Heading 2 Char"/>
    <w:basedOn w:val="DefaultParagraphFont"/>
    <w:link w:val="Heading2"/>
    <w:rsid w:val="007B6F9A"/>
    <w:rPr>
      <w:rFonts w:ascii="Cambria" w:eastAsiaTheme="majorEastAsia" w:hAnsi="Cambria" w:cstheme="majorBidi"/>
      <w:b/>
      <w:color w:val="463691"/>
      <w:sz w:val="26"/>
      <w:szCs w:val="26"/>
      <w:lang w:val="en-US"/>
    </w:rPr>
  </w:style>
  <w:style w:type="character" w:customStyle="1" w:styleId="Heading3Char">
    <w:name w:val="Heading 3 Char"/>
    <w:basedOn w:val="DefaultParagraphFont"/>
    <w:link w:val="Heading3"/>
    <w:rsid w:val="007B6F9A"/>
    <w:rPr>
      <w:rFonts w:ascii="Cambria" w:eastAsiaTheme="majorEastAsia" w:hAnsi="Cambria" w:cstheme="majorBidi"/>
      <w:b/>
      <w:color w:val="463691"/>
      <w:lang w:val="en-US"/>
    </w:rPr>
  </w:style>
  <w:style w:type="character" w:customStyle="1" w:styleId="Heading4Char">
    <w:name w:val="Heading 4 Char"/>
    <w:basedOn w:val="DefaultParagraphFont"/>
    <w:link w:val="Heading4"/>
    <w:rsid w:val="007B6F9A"/>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rsid w:val="007B6F9A"/>
    <w:rPr>
      <w:rFonts w:ascii="Arial" w:eastAsia="Arial" w:hAnsi="Arial" w:cs="Arial"/>
      <w:color w:val="666666"/>
      <w:sz w:val="22"/>
      <w:szCs w:val="22"/>
      <w:lang w:val="en-US"/>
    </w:rPr>
  </w:style>
  <w:style w:type="character" w:customStyle="1" w:styleId="Heading6Char">
    <w:name w:val="Heading 6 Char"/>
    <w:basedOn w:val="DefaultParagraphFont"/>
    <w:link w:val="Heading6"/>
    <w:rsid w:val="007B6F9A"/>
    <w:rPr>
      <w:rFonts w:ascii="Arial" w:eastAsia="Arial" w:hAnsi="Arial" w:cs="Arial"/>
      <w:i/>
      <w:color w:val="666666"/>
      <w:sz w:val="22"/>
      <w:szCs w:val="22"/>
      <w:lang w:val="en-US"/>
    </w:rPr>
  </w:style>
  <w:style w:type="character" w:styleId="Hyperlink">
    <w:name w:val="Hyperlink"/>
    <w:basedOn w:val="DefaultParagraphFont"/>
    <w:uiPriority w:val="99"/>
    <w:unhideWhenUsed/>
    <w:rsid w:val="007B6F9A"/>
    <w:rPr>
      <w:color w:val="0563C1" w:themeColor="hyperlink"/>
      <w:u w:val="single"/>
    </w:rPr>
  </w:style>
  <w:style w:type="paragraph" w:styleId="TOC1">
    <w:name w:val="toc 1"/>
    <w:basedOn w:val="Normal"/>
    <w:next w:val="Normal"/>
    <w:link w:val="TOC1Char"/>
    <w:autoRedefine/>
    <w:uiPriority w:val="39"/>
    <w:unhideWhenUsed/>
    <w:rsid w:val="007B6F9A"/>
    <w:pPr>
      <w:spacing w:after="100" w:line="276" w:lineRule="auto"/>
    </w:pPr>
    <w:rPr>
      <w:rFonts w:asciiTheme="majorHAnsi" w:hAnsiTheme="majorHAnsi"/>
    </w:rPr>
  </w:style>
  <w:style w:type="paragraph" w:styleId="TOC2">
    <w:name w:val="toc 2"/>
    <w:basedOn w:val="Normal"/>
    <w:next w:val="Normal"/>
    <w:autoRedefine/>
    <w:uiPriority w:val="39"/>
    <w:unhideWhenUsed/>
    <w:rsid w:val="007B6F9A"/>
    <w:pPr>
      <w:tabs>
        <w:tab w:val="left" w:pos="880"/>
        <w:tab w:val="right" w:leader="dot" w:pos="9350"/>
      </w:tabs>
      <w:spacing w:after="100" w:line="276" w:lineRule="auto"/>
      <w:ind w:left="220"/>
    </w:pPr>
    <w:rPr>
      <w:rFonts w:asciiTheme="majorHAnsi" w:hAnsiTheme="majorHAnsi"/>
      <w:i/>
      <w:noProof/>
    </w:rPr>
  </w:style>
  <w:style w:type="paragraph" w:styleId="TOCHeading">
    <w:name w:val="TOC Heading"/>
    <w:basedOn w:val="Heading1"/>
    <w:next w:val="Normal"/>
    <w:uiPriority w:val="39"/>
    <w:semiHidden/>
    <w:unhideWhenUsed/>
    <w:qFormat/>
    <w:rsid w:val="007B6F9A"/>
    <w:pPr>
      <w:keepNext/>
      <w:keepLines/>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Revision">
    <w:name w:val="Revision"/>
    <w:hidden/>
    <w:uiPriority w:val="99"/>
    <w:semiHidden/>
    <w:rsid w:val="007B6F9A"/>
    <w:rPr>
      <w:rFonts w:ascii="Cambria" w:hAnsi="Cambria" w:cs="Times New Roman"/>
      <w:color w:val="000000"/>
      <w:lang w:val="en-US"/>
    </w:rPr>
  </w:style>
  <w:style w:type="paragraph" w:styleId="Title">
    <w:name w:val="Title"/>
    <w:basedOn w:val="Normal"/>
    <w:next w:val="Normal"/>
    <w:link w:val="TitleChar"/>
    <w:rsid w:val="007B6F9A"/>
    <w:pPr>
      <w:keepNext/>
      <w:keepLines/>
      <w:spacing w:after="60" w:line="276" w:lineRule="auto"/>
      <w:contextualSpacing/>
    </w:pPr>
    <w:rPr>
      <w:rFonts w:ascii="Arial" w:eastAsia="Arial" w:hAnsi="Arial" w:cs="Arial"/>
      <w:sz w:val="52"/>
      <w:szCs w:val="52"/>
    </w:rPr>
  </w:style>
  <w:style w:type="character" w:customStyle="1" w:styleId="TitleChar">
    <w:name w:val="Title Char"/>
    <w:basedOn w:val="DefaultParagraphFont"/>
    <w:link w:val="Title"/>
    <w:rsid w:val="007B6F9A"/>
    <w:rPr>
      <w:rFonts w:ascii="Arial" w:eastAsia="Arial" w:hAnsi="Arial" w:cs="Arial"/>
      <w:color w:val="000000"/>
      <w:sz w:val="52"/>
      <w:szCs w:val="52"/>
      <w:lang w:val="en-US"/>
    </w:rPr>
  </w:style>
  <w:style w:type="paragraph" w:styleId="Subtitle">
    <w:name w:val="Subtitle"/>
    <w:basedOn w:val="Normal"/>
    <w:next w:val="Normal"/>
    <w:link w:val="SubtitleChar"/>
    <w:rsid w:val="007B6F9A"/>
    <w:pPr>
      <w:keepNext/>
      <w:keepLines/>
      <w:spacing w:after="320" w:line="276" w:lineRule="auto"/>
      <w:contextualSpacing/>
    </w:pPr>
    <w:rPr>
      <w:rFonts w:ascii="Arial" w:eastAsia="Arial" w:hAnsi="Arial" w:cs="Arial"/>
      <w:color w:val="666666"/>
      <w:sz w:val="30"/>
      <w:szCs w:val="30"/>
    </w:rPr>
  </w:style>
  <w:style w:type="character" w:customStyle="1" w:styleId="SubtitleChar">
    <w:name w:val="Subtitle Char"/>
    <w:basedOn w:val="DefaultParagraphFont"/>
    <w:link w:val="Subtitle"/>
    <w:rsid w:val="007B6F9A"/>
    <w:rPr>
      <w:rFonts w:ascii="Arial" w:eastAsia="Arial" w:hAnsi="Arial" w:cs="Arial"/>
      <w:color w:val="666666"/>
      <w:sz w:val="30"/>
      <w:szCs w:val="30"/>
      <w:lang w:val="en-US"/>
    </w:rPr>
  </w:style>
  <w:style w:type="paragraph" w:styleId="CommentText">
    <w:name w:val="annotation text"/>
    <w:basedOn w:val="Normal"/>
    <w:link w:val="CommentTextChar"/>
    <w:uiPriority w:val="99"/>
    <w:semiHidden/>
    <w:unhideWhenUsed/>
    <w:rsid w:val="007B6F9A"/>
    <w:pPr>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7B6F9A"/>
    <w:rPr>
      <w:rFonts w:ascii="Arial" w:eastAsia="Arial" w:hAnsi="Arial" w:cs="Arial"/>
      <w:color w:val="000000"/>
      <w:sz w:val="20"/>
      <w:szCs w:val="20"/>
      <w:lang w:val="en-US"/>
    </w:rPr>
  </w:style>
  <w:style w:type="character" w:styleId="CommentReference">
    <w:name w:val="annotation reference"/>
    <w:basedOn w:val="DefaultParagraphFont"/>
    <w:uiPriority w:val="99"/>
    <w:semiHidden/>
    <w:unhideWhenUsed/>
    <w:rsid w:val="007B6F9A"/>
    <w:rPr>
      <w:sz w:val="16"/>
      <w:szCs w:val="16"/>
    </w:rPr>
  </w:style>
  <w:style w:type="paragraph" w:styleId="BalloonText">
    <w:name w:val="Balloon Text"/>
    <w:basedOn w:val="Normal"/>
    <w:link w:val="BalloonTextChar"/>
    <w:uiPriority w:val="99"/>
    <w:semiHidden/>
    <w:unhideWhenUsed/>
    <w:rsid w:val="007B6F9A"/>
    <w:pPr>
      <w:spacing w:after="0" w:line="240" w:lineRule="auto"/>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7B6F9A"/>
    <w:rPr>
      <w:rFonts w:ascii="Segoe UI" w:eastAsia="Arial" w:hAnsi="Segoe UI" w:cs="Segoe UI"/>
      <w:color w:val="000000"/>
      <w:sz w:val="18"/>
      <w:szCs w:val="18"/>
      <w:lang w:val="en-US"/>
    </w:rPr>
  </w:style>
  <w:style w:type="paragraph" w:styleId="Header">
    <w:name w:val="header"/>
    <w:basedOn w:val="Normal"/>
    <w:link w:val="HeaderChar"/>
    <w:uiPriority w:val="99"/>
    <w:unhideWhenUsed/>
    <w:rsid w:val="007B6F9A"/>
    <w:pPr>
      <w:tabs>
        <w:tab w:val="center" w:pos="4680"/>
        <w:tab w:val="right" w:pos="9360"/>
      </w:tabs>
      <w:spacing w:after="0" w:line="240" w:lineRule="auto"/>
    </w:pPr>
    <w:rPr>
      <w:rFonts w:ascii="Arial" w:eastAsia="Arial" w:hAnsi="Arial" w:cs="Arial"/>
    </w:rPr>
  </w:style>
  <w:style w:type="character" w:customStyle="1" w:styleId="HeaderChar">
    <w:name w:val="Header Char"/>
    <w:basedOn w:val="DefaultParagraphFont"/>
    <w:link w:val="Header"/>
    <w:uiPriority w:val="99"/>
    <w:rsid w:val="007B6F9A"/>
    <w:rPr>
      <w:rFonts w:ascii="Arial" w:eastAsia="Arial" w:hAnsi="Arial" w:cs="Arial"/>
      <w:color w:val="000000"/>
      <w:sz w:val="22"/>
      <w:szCs w:val="22"/>
      <w:lang w:val="en-US"/>
    </w:rPr>
  </w:style>
  <w:style w:type="paragraph" w:styleId="Footer">
    <w:name w:val="footer"/>
    <w:basedOn w:val="Normal"/>
    <w:link w:val="FooterChar"/>
    <w:uiPriority w:val="99"/>
    <w:unhideWhenUsed/>
    <w:rsid w:val="007B6F9A"/>
    <w:pPr>
      <w:tabs>
        <w:tab w:val="center" w:pos="4680"/>
        <w:tab w:val="right" w:pos="9360"/>
      </w:tabs>
      <w:spacing w:after="0" w:line="240" w:lineRule="auto"/>
    </w:pPr>
    <w:rPr>
      <w:rFonts w:ascii="Arial" w:eastAsia="Arial" w:hAnsi="Arial" w:cs="Arial"/>
    </w:rPr>
  </w:style>
  <w:style w:type="character" w:customStyle="1" w:styleId="FooterChar">
    <w:name w:val="Footer Char"/>
    <w:basedOn w:val="DefaultParagraphFont"/>
    <w:link w:val="Footer"/>
    <w:uiPriority w:val="99"/>
    <w:rsid w:val="007B6F9A"/>
    <w:rPr>
      <w:rFonts w:ascii="Arial" w:eastAsia="Arial" w:hAnsi="Arial" w:cs="Arial"/>
      <w:color w:val="000000"/>
      <w:sz w:val="22"/>
      <w:szCs w:val="22"/>
      <w:lang w:val="en-US"/>
    </w:rPr>
  </w:style>
  <w:style w:type="paragraph" w:styleId="Quote">
    <w:name w:val="Quote"/>
    <w:basedOn w:val="Normal"/>
    <w:next w:val="Normal"/>
    <w:link w:val="QuoteChar"/>
    <w:uiPriority w:val="29"/>
    <w:qFormat/>
    <w:rsid w:val="007B6F9A"/>
    <w:pPr>
      <w:spacing w:before="200" w:line="276" w:lineRule="auto"/>
      <w:ind w:left="864" w:right="864"/>
      <w:jc w:val="center"/>
    </w:pPr>
    <w:rPr>
      <w:rFonts w:ascii="Arial" w:eastAsia="Arial" w:hAnsi="Arial" w:cs="Arial"/>
      <w:i/>
      <w:iCs/>
      <w:color w:val="404040" w:themeColor="text1" w:themeTint="BF"/>
    </w:rPr>
  </w:style>
  <w:style w:type="character" w:customStyle="1" w:styleId="QuoteChar">
    <w:name w:val="Quote Char"/>
    <w:basedOn w:val="DefaultParagraphFont"/>
    <w:link w:val="Quote"/>
    <w:uiPriority w:val="29"/>
    <w:rsid w:val="007B6F9A"/>
    <w:rPr>
      <w:rFonts w:ascii="Arial" w:eastAsia="Arial" w:hAnsi="Arial" w:cs="Arial"/>
      <w:i/>
      <w:iCs/>
      <w:color w:val="404040" w:themeColor="text1" w:themeTint="BF"/>
      <w:sz w:val="22"/>
      <w:szCs w:val="22"/>
      <w:lang w:val="en-US"/>
    </w:rPr>
  </w:style>
  <w:style w:type="character" w:customStyle="1" w:styleId="CommentSubjectChar">
    <w:name w:val="Comment Subject Char"/>
    <w:basedOn w:val="CommentTextChar"/>
    <w:link w:val="CommentSubject"/>
    <w:uiPriority w:val="99"/>
    <w:semiHidden/>
    <w:rsid w:val="007B6F9A"/>
    <w:rPr>
      <w:rFonts w:ascii="Arial" w:eastAsia="Arial" w:hAnsi="Arial" w:cs="Arial"/>
      <w:b/>
      <w:bCs/>
      <w:color w:val="000000"/>
      <w:sz w:val="20"/>
      <w:szCs w:val="20"/>
      <w:lang w:val="en-US"/>
    </w:rPr>
  </w:style>
  <w:style w:type="paragraph" w:styleId="CommentSubject">
    <w:name w:val="annotation subject"/>
    <w:basedOn w:val="CommentText"/>
    <w:next w:val="CommentText"/>
    <w:link w:val="CommentSubjectChar"/>
    <w:uiPriority w:val="99"/>
    <w:semiHidden/>
    <w:unhideWhenUsed/>
    <w:rsid w:val="007B6F9A"/>
    <w:rPr>
      <w:b/>
      <w:bCs/>
    </w:rPr>
  </w:style>
  <w:style w:type="character" w:customStyle="1" w:styleId="CommentSubjectChar1">
    <w:name w:val="Comment Subject Char1"/>
    <w:basedOn w:val="CommentTextChar"/>
    <w:uiPriority w:val="99"/>
    <w:semiHidden/>
    <w:rsid w:val="000D3703"/>
    <w:rPr>
      <w:rFonts w:ascii="Cambria" w:eastAsia="Arial" w:hAnsi="Cambria" w:cs="Times New Roman"/>
      <w:b/>
      <w:bCs/>
      <w:color w:val="000000"/>
      <w:sz w:val="20"/>
      <w:szCs w:val="20"/>
      <w:lang w:val="en-US"/>
    </w:rPr>
  </w:style>
  <w:style w:type="paragraph" w:styleId="FootnoteText">
    <w:name w:val="footnote text"/>
    <w:basedOn w:val="Normal"/>
    <w:link w:val="FootnoteTextChar"/>
    <w:uiPriority w:val="99"/>
    <w:unhideWhenUsed/>
    <w:rsid w:val="007B6F9A"/>
    <w:pPr>
      <w:spacing w:after="0" w:line="240" w:lineRule="auto"/>
    </w:pPr>
    <w:rPr>
      <w:rFonts w:ascii="Arial" w:eastAsia="Arial" w:hAnsi="Arial" w:cs="Arial"/>
      <w:sz w:val="20"/>
      <w:szCs w:val="20"/>
    </w:rPr>
  </w:style>
  <w:style w:type="character" w:customStyle="1" w:styleId="FootnoteTextChar">
    <w:name w:val="Footnote Text Char"/>
    <w:basedOn w:val="DefaultParagraphFont"/>
    <w:link w:val="FootnoteText"/>
    <w:uiPriority w:val="99"/>
    <w:rsid w:val="007B6F9A"/>
    <w:rPr>
      <w:rFonts w:ascii="Arial" w:eastAsia="Arial" w:hAnsi="Arial" w:cs="Arial"/>
      <w:color w:val="000000"/>
      <w:sz w:val="20"/>
      <w:szCs w:val="20"/>
      <w:lang w:val="en-US"/>
    </w:rPr>
  </w:style>
  <w:style w:type="character" w:styleId="FootnoteReference">
    <w:name w:val="footnote reference"/>
    <w:basedOn w:val="DefaultParagraphFont"/>
    <w:uiPriority w:val="99"/>
    <w:semiHidden/>
    <w:unhideWhenUsed/>
    <w:rsid w:val="007B6F9A"/>
    <w:rPr>
      <w:vertAlign w:val="superscript"/>
    </w:rPr>
  </w:style>
  <w:style w:type="paragraph" w:customStyle="1" w:styleId="Default">
    <w:name w:val="Default"/>
    <w:rsid w:val="007B6F9A"/>
    <w:pPr>
      <w:autoSpaceDE w:val="0"/>
      <w:autoSpaceDN w:val="0"/>
      <w:adjustRightInd w:val="0"/>
    </w:pPr>
    <w:rPr>
      <w:rFonts w:ascii="Arial" w:eastAsia="Arial" w:hAnsi="Arial" w:cs="Arial"/>
      <w:color w:val="000000"/>
      <w:lang w:val="en-US"/>
    </w:rPr>
  </w:style>
  <w:style w:type="paragraph" w:styleId="ListParagraph">
    <w:name w:val="List Paragraph"/>
    <w:basedOn w:val="Normal"/>
    <w:uiPriority w:val="34"/>
    <w:qFormat/>
    <w:rsid w:val="007B6F9A"/>
    <w:pPr>
      <w:spacing w:after="0" w:line="276" w:lineRule="auto"/>
      <w:ind w:left="720"/>
      <w:contextualSpacing/>
    </w:pPr>
    <w:rPr>
      <w:rFonts w:ascii="Arial" w:eastAsia="Arial" w:hAnsi="Arial" w:cs="Arial"/>
    </w:rPr>
  </w:style>
  <w:style w:type="paragraph" w:styleId="Bibliography">
    <w:name w:val="Bibliography"/>
    <w:basedOn w:val="Normal"/>
    <w:next w:val="Normal"/>
    <w:uiPriority w:val="37"/>
    <w:unhideWhenUsed/>
    <w:rsid w:val="007B6F9A"/>
    <w:pPr>
      <w:spacing w:after="0" w:line="276" w:lineRule="auto"/>
    </w:pPr>
    <w:rPr>
      <w:rFonts w:ascii="Arial" w:eastAsia="Arial" w:hAnsi="Arial" w:cs="Arial"/>
    </w:rPr>
  </w:style>
  <w:style w:type="table" w:styleId="TableGrid">
    <w:name w:val="Table Grid"/>
    <w:basedOn w:val="TableNormal"/>
    <w:uiPriority w:val="39"/>
    <w:rsid w:val="007B6F9A"/>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COL">
    <w:name w:val="Title_COL"/>
    <w:basedOn w:val="Heading1"/>
    <w:link w:val="TitleCOLChar"/>
    <w:qFormat/>
    <w:rsid w:val="007B6F9A"/>
    <w:rPr>
      <w:sz w:val="40"/>
      <w:szCs w:val="40"/>
    </w:rPr>
  </w:style>
  <w:style w:type="paragraph" w:customStyle="1" w:styleId="Heading1COL">
    <w:name w:val="Heading 1_COL"/>
    <w:basedOn w:val="Heading1"/>
    <w:link w:val="Heading1COLChar"/>
    <w:qFormat/>
    <w:rsid w:val="007B6F9A"/>
  </w:style>
  <w:style w:type="character" w:customStyle="1" w:styleId="TitleCOLChar">
    <w:name w:val="Title_COL Char"/>
    <w:basedOn w:val="Heading1Char"/>
    <w:link w:val="TitleCOL"/>
    <w:rsid w:val="007B6F9A"/>
    <w:rPr>
      <w:rFonts w:ascii="Stone Sans ITC Std Medium" w:hAnsi="Stone Sans ITC Std Medium" w:cs="Times New Roman"/>
      <w:b/>
      <w:color w:val="463691"/>
      <w:sz w:val="40"/>
      <w:szCs w:val="40"/>
      <w:lang w:val="en-US"/>
    </w:rPr>
  </w:style>
  <w:style w:type="paragraph" w:customStyle="1" w:styleId="Heading2COL">
    <w:name w:val="Heading 2_COL"/>
    <w:basedOn w:val="Heading2"/>
    <w:link w:val="Heading2COLChar"/>
    <w:qFormat/>
    <w:rsid w:val="007B6F9A"/>
  </w:style>
  <w:style w:type="character" w:customStyle="1" w:styleId="Heading1COLChar">
    <w:name w:val="Heading 1_COL Char"/>
    <w:basedOn w:val="Heading1Char"/>
    <w:link w:val="Heading1COL"/>
    <w:rsid w:val="007B6F9A"/>
    <w:rPr>
      <w:rFonts w:ascii="Stone Sans ITC Std Medium" w:hAnsi="Stone Sans ITC Std Medium" w:cs="Times New Roman"/>
      <w:b/>
      <w:color w:val="463691"/>
      <w:sz w:val="28"/>
      <w:szCs w:val="28"/>
      <w:lang w:val="en-US"/>
    </w:rPr>
  </w:style>
  <w:style w:type="paragraph" w:customStyle="1" w:styleId="Heading3COL">
    <w:name w:val="Heading 3_COL"/>
    <w:basedOn w:val="Heading3"/>
    <w:link w:val="Heading3COLChar"/>
    <w:qFormat/>
    <w:rsid w:val="007B6F9A"/>
    <w:pPr>
      <w:numPr>
        <w:ilvl w:val="0"/>
        <w:numId w:val="0"/>
      </w:numPr>
    </w:pPr>
    <w:rPr>
      <w:sz w:val="23"/>
      <w:szCs w:val="23"/>
    </w:rPr>
  </w:style>
  <w:style w:type="character" w:customStyle="1" w:styleId="Heading2COLChar">
    <w:name w:val="Heading 2_COL Char"/>
    <w:basedOn w:val="Heading2Char"/>
    <w:link w:val="Heading2COL"/>
    <w:rsid w:val="007B6F9A"/>
    <w:rPr>
      <w:rFonts w:ascii="Cambria" w:eastAsiaTheme="majorEastAsia" w:hAnsi="Cambria" w:cstheme="majorBidi"/>
      <w:b/>
      <w:color w:val="463691"/>
      <w:sz w:val="26"/>
      <w:szCs w:val="26"/>
      <w:lang w:val="en-US"/>
    </w:rPr>
  </w:style>
  <w:style w:type="paragraph" w:customStyle="1" w:styleId="BodyCOL">
    <w:name w:val="Body_COL"/>
    <w:basedOn w:val="Normal"/>
    <w:link w:val="BodyCOLChar"/>
    <w:qFormat/>
    <w:rsid w:val="007B6F9A"/>
  </w:style>
  <w:style w:type="character" w:customStyle="1" w:styleId="Heading3COLChar">
    <w:name w:val="Heading 3_COL Char"/>
    <w:basedOn w:val="Heading3Char"/>
    <w:link w:val="Heading3COL"/>
    <w:rsid w:val="007B6F9A"/>
    <w:rPr>
      <w:rFonts w:ascii="Cambria" w:eastAsiaTheme="majorEastAsia" w:hAnsi="Cambria" w:cstheme="majorBidi"/>
      <w:b/>
      <w:color w:val="463691"/>
      <w:sz w:val="23"/>
      <w:szCs w:val="23"/>
      <w:lang w:val="en-US"/>
    </w:rPr>
  </w:style>
  <w:style w:type="paragraph" w:customStyle="1" w:styleId="TofCCOL">
    <w:name w:val="TofC_COL"/>
    <w:basedOn w:val="TOC1"/>
    <w:link w:val="TofCCOLChar"/>
    <w:qFormat/>
    <w:rsid w:val="007B6F9A"/>
    <w:pPr>
      <w:tabs>
        <w:tab w:val="right" w:leader="dot" w:pos="9350"/>
      </w:tabs>
    </w:pPr>
  </w:style>
  <w:style w:type="character" w:customStyle="1" w:styleId="BodyCOLChar">
    <w:name w:val="Body_COL Char"/>
    <w:basedOn w:val="DefaultParagraphFont"/>
    <w:link w:val="BodyCOL"/>
    <w:rsid w:val="007B6F9A"/>
    <w:rPr>
      <w:rFonts w:ascii="Cambria" w:hAnsi="Cambria" w:cs="Times New Roman"/>
      <w:color w:val="000000"/>
      <w:lang w:val="en-US"/>
    </w:rPr>
  </w:style>
  <w:style w:type="character" w:customStyle="1" w:styleId="TOC1Char">
    <w:name w:val="TOC 1 Char"/>
    <w:basedOn w:val="DefaultParagraphFont"/>
    <w:link w:val="TOC1"/>
    <w:uiPriority w:val="39"/>
    <w:rsid w:val="007B6F9A"/>
    <w:rPr>
      <w:rFonts w:asciiTheme="majorHAnsi" w:hAnsiTheme="majorHAnsi"/>
      <w:sz w:val="22"/>
      <w:szCs w:val="22"/>
      <w:lang w:val="en-US"/>
    </w:rPr>
  </w:style>
  <w:style w:type="character" w:customStyle="1" w:styleId="TofCCOLChar">
    <w:name w:val="TofC_COL Char"/>
    <w:basedOn w:val="TOC1Char"/>
    <w:link w:val="TofCCOL"/>
    <w:rsid w:val="007B6F9A"/>
    <w:rPr>
      <w:rFonts w:asciiTheme="majorHAnsi" w:hAnsiTheme="majorHAnsi"/>
      <w:sz w:val="22"/>
      <w:szCs w:val="22"/>
      <w:lang w:val="en-US"/>
    </w:rPr>
  </w:style>
  <w:style w:type="character" w:styleId="PageNumber">
    <w:name w:val="page number"/>
    <w:basedOn w:val="DefaultParagraphFont"/>
    <w:uiPriority w:val="99"/>
    <w:semiHidden/>
    <w:unhideWhenUsed/>
    <w:rsid w:val="000D3703"/>
  </w:style>
  <w:style w:type="paragraph" w:customStyle="1" w:styleId="BulletsCOL">
    <w:name w:val="Bullets_COL"/>
    <w:basedOn w:val="BodyCOL"/>
    <w:link w:val="BulletsCOLChar"/>
    <w:qFormat/>
    <w:rsid w:val="0055593C"/>
    <w:pPr>
      <w:numPr>
        <w:numId w:val="9"/>
      </w:numPr>
    </w:pPr>
  </w:style>
  <w:style w:type="character" w:customStyle="1" w:styleId="BulletsCOLChar">
    <w:name w:val="Bullets_COL Char"/>
    <w:basedOn w:val="BodyCOLChar"/>
    <w:link w:val="BulletsCOL"/>
    <w:rsid w:val="0055593C"/>
    <w:rPr>
      <w:rFonts w:ascii="Cambria" w:hAnsi="Cambria" w:cs="Times New Roman"/>
      <w:color w:val="000000"/>
      <w:lang w:val="en-US"/>
    </w:rPr>
  </w:style>
  <w:style w:type="character" w:styleId="FollowedHyperlink">
    <w:name w:val="FollowedHyperlink"/>
    <w:basedOn w:val="DefaultParagraphFont"/>
    <w:uiPriority w:val="99"/>
    <w:semiHidden/>
    <w:unhideWhenUsed/>
    <w:rsid w:val="00FA0A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58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safrica.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ocw.mit.edu" TargetMode="External"/><Relationship Id="rId4" Type="http://schemas.openxmlformats.org/officeDocument/2006/relationships/webSettings" Target="webSettings.xml"/><Relationship Id="rId9" Type="http://schemas.openxmlformats.org/officeDocument/2006/relationships/hyperlink" Target="http://www.tess-india.edu.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2191</Words>
  <Characters>12491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Minay</dc:creator>
  <cp:keywords/>
  <dc:description/>
  <cp:lastModifiedBy>Beatrice Ogange</cp:lastModifiedBy>
  <cp:revision>2</cp:revision>
  <dcterms:created xsi:type="dcterms:W3CDTF">2018-05-25T16:58:00Z</dcterms:created>
  <dcterms:modified xsi:type="dcterms:W3CDTF">2018-05-25T16:58:00Z</dcterms:modified>
</cp:coreProperties>
</file>